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65960" cy="1965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196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ubtitle"/>
        <w:jc w:val="center"/>
      </w:pPr>
      <w:r>
        <w:t>WSQ COURSEWARE</w:t>
      </w:r>
    </w:p>
    <w:p>
      <w:pPr>
        <w:pStyle w:val="Title"/>
        <w:jc w:val="center"/>
      </w:pPr>
      <w:r>
        <w:t>Agentic AI for Product Development</w:t>
      </w:r>
    </w:p>
    <w:p>
      <w:pPr>
        <w:pStyle w:val="Subtitle"/>
        <w:jc w:val="center"/>
      </w:pPr>
      <w:r>
        <w:t>Assessment Plan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Course Code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TGS-2024045799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Technical Skills and Competencies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ICT-TEM-4035-1.1 Automation Management in Product Development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v7.0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Release Date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11 September 2026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Training Provider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Tertiary Infotech Academy Pte. Ltd. (UEN 201200696W)</w:t>
            </w:r>
          </w:p>
        </w:tc>
      </w:tr>
      <w:tr>
        <w:tc>
          <w:tcPr>
            <w:tcW w:type="dxa" w:w="5071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Trainer</w:t>
            </w:r>
          </w:p>
        </w:tc>
        <w:tc>
          <w:tcPr>
            <w:tcW w:type="dxa" w:w="5071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Dr Alfred Ang</w:t>
            </w:r>
          </w:p>
        </w:tc>
      </w:tr>
    </w:tbl>
    <w:p/>
    <w:p>
      <w:pPr>
        <w:jc w:val="center"/>
      </w:pPr>
      <w:r>
        <w:rPr>
          <w:i/>
          <w:color w:val="526577"/>
        </w:rPr>
        <w:t>Controlled document. Verify the version before use.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</w:tblGrid>
      <w:tr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Change summary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Assessment Plan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6.0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Prior release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Tertiary Infotech Academy Pte. Ltd.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Legacy chatbot courseware retained as historical reference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Assessment Plan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8"/>
              </w:rPr>
              <w:t>7.0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11 September 2026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Tertiary Infotech Academy Pte. Ltd.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Agentic AI product-development remap using both supplied eBooks; visual deck, twelve independent activities, aligned WA-SAQ and PP</w:t>
            </w:r>
          </w:p>
        </w:tc>
      </w:tr>
    </w:tbl>
    <w:p/>
    <w:p>
      <w:pPr>
        <w:pStyle w:val="Heading1"/>
      </w:pPr>
      <w:r>
        <w:t>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Document Control</w:t>
        <w:tab/>
        <w:t>2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Contents</w:t>
        <w:tab/>
        <w:t>2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1. Assessment decision</w:t>
        <w:tab/>
        <w:t>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2. Instrument structure</w:t>
        <w:tab/>
        <w:t>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3. Knowledge coverage</w:t>
        <w:tab/>
        <w:t>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4. Ability coverage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5. Evidence and judgment rules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6. Administration and moderation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7. References</w:t>
        <w:tab/>
        <w:t>4</w:t>
      </w:r>
    </w:p>
    <w:p>
      <w:r>
        <w:br w:type="page"/>
      </w:r>
    </w:p>
    <w:p>
      <w:pPr>
        <w:pStyle w:val="Heading1"/>
      </w:pPr>
      <w:r>
        <w:t>1. Assessment decision</w:t>
      </w:r>
    </w:p>
    <w:p>
      <w:r>
        <w:t>Competence is established through one 60-minute Written Assessment and one 60-minute Practical Performance. The written paper tests K1 to K6; the performance paper requires three observable tasks covering A1 to A3. Both instruments use the same product-development mechanisms, activity evidence and governance boundaries taught in class.</w:t>
      </w:r>
    </w:p>
    <w:p>
      <w:pPr>
        <w:pStyle w:val="Heading1"/>
      </w:pPr>
      <w:r>
        <w:t>2. Instrument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</w:tblGrid>
      <w:tr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Instrument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Duration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Items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Coverage</w:t>
            </w:r>
          </w:p>
        </w:tc>
        <w:tc>
          <w:tcPr>
            <w:tcW w:type="dxa" w:w="2028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7"/>
              </w:rPr>
              <w:t>Written Assessment SAQ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60 min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6 questions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K1–K6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Six open-ended responses</w:t>
            </w:r>
          </w:p>
        </w:tc>
      </w:tr>
      <w:tr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7"/>
              </w:rPr>
              <w:t>Practical Performance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60 min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3 tasks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A1–A3</w:t>
            </w:r>
          </w:p>
        </w:tc>
        <w:tc>
          <w:tcPr>
            <w:tcW w:type="dxa" w:w="2028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Builder evaluation, optimised workflow and governed deployment decision</w:t>
            </w:r>
          </w:p>
        </w:tc>
      </w:tr>
    </w:tbl>
    <w:p>
      <w:pPr>
        <w:pStyle w:val="Heading1"/>
      </w:pPr>
      <w:r>
        <w:t>3. Knowledge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Code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expected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Taught source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K1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Q1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Lifecycle applications and supported decisions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Topic 1 lifecycle map; Topic 2 journey orchestration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K2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Q2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Resources, skills, common task and sensitivity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Topic 1 builder comparison and readiness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K3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Q3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Quality, reliability, latency, cost and review measures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Topics 2–3 evaluation and observability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K4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Q4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Workflow, contracts, optimisation and rollout practices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Topics 1–3 control mechanisms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K5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Q5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User value, benefits, trade-offs and recovery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Topics 1 and 3 product principles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6"/>
              </w:rPr>
              <w:t>K6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Q6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API, schema, retrieval, evaluation and security skills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6"/>
              </w:rPr>
              <w:t>Topics 2 and 3 integration architecture</w:t>
            </w:r>
          </w:p>
        </w:tc>
      </w:tr>
    </w:tbl>
    <w:p>
      <w:r>
        <w:br w:type="page"/>
      </w:r>
    </w:p>
    <w:p>
      <w:pPr>
        <w:pStyle w:val="Heading1"/>
      </w:pPr>
      <w:r>
        <w:t>4. Ability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Code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Observed performance</w:t>
            </w:r>
          </w:p>
        </w:tc>
        <w:tc>
          <w:tcPr>
            <w:tcW w:type="dxa" w:w="2535"/>
            <w:vAlign w:val="center"/>
            <w:shd w:fill="0D3056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Aligned activities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7"/>
              </w:rPr>
              <w:t>A1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Task 1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Compare builders and recommend a fit-for-purpose option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Activities 01–04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7"/>
              </w:rPr>
              <w:t>A2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Task 2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Design and optimise a bounded agentic workflow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Activities 05–08</w:t>
            </w:r>
          </w:p>
        </w:tc>
      </w:tr>
      <w:tr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875C4"/>
                <w:sz w:val="17"/>
              </w:rPr>
              <w:t>A3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Task 3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Evaluate deployment benefits and trade-offs</w:t>
            </w:r>
          </w:p>
        </w:tc>
        <w:tc>
          <w:tcPr>
            <w:tcW w:type="dxa" w:w="2535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Activities 09–12</w:t>
            </w:r>
          </w:p>
        </w:tc>
      </w:tr>
    </w:tbl>
    <w:p>
      <w:pPr>
        <w:pStyle w:val="Heading1"/>
      </w:pPr>
      <w:r>
        <w:t>5. Evidence and judgment rules</w:t>
      </w:r>
    </w:p>
    <w:p>
      <w:pPr>
        <w:pStyle w:val="ListBullet"/>
      </w:pPr>
      <w:r>
        <w:t>Award competence only when every assigned criterion is demonstrated with relevant, authentic and sufficient evidence.</w:t>
      </w:r>
    </w:p>
    <w:p>
      <w:pPr>
        <w:pStyle w:val="ListBullet"/>
      </w:pPr>
      <w:r>
        <w:t>Accept alternative wording or tools when the mechanism, control and evidence satisfy the printed criterion.</w:t>
      </w:r>
    </w:p>
    <w:p>
      <w:pPr>
        <w:pStyle w:val="ListBullet"/>
      </w:pPr>
      <w:r>
        <w:t>Do not accept unsupported agent output, invented sources, missing human ownership or unverified completion claims.</w:t>
      </w:r>
    </w:p>
    <w:p>
      <w:pPr>
        <w:pStyle w:val="ListBullet"/>
      </w:pPr>
      <w:r>
        <w:t>Record clarification prompts without coaching the learner toward the model answer.</w:t>
      </w:r>
    </w:p>
    <w:p>
      <w:pPr>
        <w:pStyle w:val="ListBullet"/>
      </w:pPr>
      <w:r>
        <w:t>Keep answer keys, marking guidance and assessor notes in trainer-private storage.</w:t>
      </w:r>
    </w:p>
    <w:p>
      <w:pPr>
        <w:pStyle w:val="Heading1"/>
      </w:pPr>
      <w:r>
        <w:t>6. Administration and moderation</w:t>
      </w:r>
    </w:p>
    <w:p>
      <w:pPr>
        <w:pStyle w:val="ListBullet"/>
      </w:pPr>
      <w:r>
        <w:t>Use the current v2 candidate and answer-key pair for each instrument.</w:t>
      </w:r>
    </w:p>
    <w:p>
      <w:pPr>
        <w:pStyle w:val="ListBullet"/>
      </w:pPr>
      <w:r>
        <w:t>Provide candidate papers through the LMS; do not attach answer keys to learner-facing records.</w:t>
      </w:r>
    </w:p>
    <w:p>
      <w:pPr>
        <w:pStyle w:val="ListBullet"/>
      </w:pPr>
      <w:r>
        <w:t>Moderate a sample of decisions across all three abilities and all six knowledge criteria.</w:t>
      </w:r>
    </w:p>
    <w:p>
      <w:pPr>
        <w:pStyle w:val="ListBullet"/>
      </w:pPr>
      <w:r>
        <w:t>Retain assessment evidence and outcomes according to the organisation's approved records policy.</w:t>
      </w:r>
    </w:p>
    <w:p>
      <w:pPr>
        <w:pStyle w:val="ListBullet"/>
      </w:pPr>
      <w:r>
        <w:t>Apply the approved appeal and reassessment workflow when a candidate disputes the outcome.</w:t>
      </w:r>
    </w:p>
    <w:p>
      <w:pPr>
        <w:pStyle w:val="Heading1"/>
      </w:pPr>
      <w:r>
        <w:t>7. References</w:t>
      </w:r>
    </w:p>
    <w:p>
      <w:pPr>
        <w:pStyle w:val="ListBullet"/>
      </w:pPr>
      <w:r>
        <w:rPr>
          <w:b/>
        </w:rPr>
        <w:t xml:space="preserve">Current course page: </w:t>
      </w:r>
      <w:r>
        <w:t>https://www.tertiarycourses.com.sg/wsq-agentic-ai-for-product-development.html — Course identity, duration, learning outcomes, topics and assessment format</w:t>
      </w:r>
    </w:p>
    <w:p>
      <w:pPr>
        <w:pStyle w:val="ListBullet"/>
      </w:pPr>
      <w:r>
        <w:rPr>
          <w:b/>
        </w:rPr>
        <w:t xml:space="preserve">AI Product Management: </w:t>
      </w:r>
      <w:r>
        <w:t>Local reference/AI Product Management.pdf — AI-PM playground, natural-language development, rapid prototyping, specification, iteration and production handoff</w:t>
      </w:r>
    </w:p>
    <w:p>
      <w:pPr>
        <w:pStyle w:val="ListBullet"/>
      </w:pPr>
      <w:r>
        <w:rPr>
          <w:b/>
        </w:rPr>
        <w:t xml:space="preserve">Building AI-Powered Products: </w:t>
      </w:r>
      <w:r>
        <w:t>Local reference/Building AI-Powered Products.pdf — AI product-development lifecycle, product sense, goals and metrics, agent patterns, evaluation and production rollout</w:t>
      </w:r>
    </w:p>
    <w:p>
      <w:pPr>
        <w:pStyle w:val="ListBullet"/>
      </w:pPr>
      <w:r>
        <w:rPr>
          <w:b/>
        </w:rPr>
        <w:t xml:space="preserve">Building effective agents: </w:t>
      </w:r>
      <w:r>
        <w:t>https://www.anthropic.com/engineering/building-effective-agents — Agent/workflow distinction, simple composable patterns and complexity trade-offs</w:t>
      </w:r>
    </w:p>
    <w:p>
      <w:pPr>
        <w:pStyle w:val="ListBullet"/>
      </w:pPr>
      <w:r>
        <w:rPr>
          <w:b/>
        </w:rPr>
        <w:t xml:space="preserve">People + AI Guidebook: </w:t>
      </w:r>
      <w:r>
        <w:t>https://pair.withgoogle.com/guidebook-v2/ — User needs, success definition, mental models, feedback, control and graceful failure</w:t>
      </w:r>
    </w:p>
    <w:p>
      <w:pPr>
        <w:pStyle w:val="ListBullet"/>
      </w:pPr>
      <w:r>
        <w:rPr>
          <w:b/>
        </w:rPr>
        <w:t xml:space="preserve">NIST AI RMF: </w:t>
      </w:r>
      <w:r>
        <w:t>https://www.nist.gov/itl/ai-risk-management-framework — Govern, map, measure and manage risk throughout the AI lifecycle</w:t>
      </w:r>
    </w:p>
    <w:sectPr w:rsidR="00FC693F" w:rsidRPr="0006063C" w:rsidSect="00034616">
      <w:footerReference w:type="default" r:id="rId9"/>
      <w:pgSz w:w="12240" w:h="15840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420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D3056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75C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2936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D305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b/>
      <w:i/>
      <w:iCs/>
      <w:color w:val="1875C4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