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Agentic AI for Product Development</w:t>
      </w:r>
    </w:p>
    <w:p>
      <w:pPr>
        <w:pStyle w:val="Subtitle"/>
        <w:jc w:val="center"/>
      </w:pPr>
      <w:r>
        <w:t>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TGS-2024045799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ICT-TEM-4035-1.1 Automation Management in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v7.0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6.0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Prior release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Legacy chatbot courseware retained as historical reference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Lesson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7.0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product-development remap using both supplied eBooks; visual deck, twelve independent activities, aligned WA-SAQ and PP</w:t>
            </w:r>
          </w:p>
        </w:tc>
      </w:tr>
    </w:tbl>
    <w:p/>
    <w:p>
      <w:pPr>
        <w:pStyle w:val="Heading1"/>
      </w:pPr>
      <w:r>
        <w:t>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Control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Contents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and Delivery Information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Facilitation Principles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Day 1 Detailed Schedule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Day 2 Detailed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Assessment and Evidence Plan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Trainer Preparation Checklist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8. References</w:t>
        <w:tab/>
        <w:t>5</w:t>
      </w:r>
    </w:p>
    <w:p>
      <w:r>
        <w:br w:type="page"/>
      </w:r>
    </w:p>
    <w:p>
      <w:pPr>
        <w:pStyle w:val="Heading1"/>
      </w:pPr>
      <w:r>
        <w:t>1. Course and Delivery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for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TGS-2024045799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TSC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ICT-TEM-4035-1.1 Automation Management in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days / 16 training hours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 hours: Written Assessment 60 minutes + Practical Performance 60 minutes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Facilitated classroom or synchronous learning with an approved agentic AI builder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 resources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207-slide deck, Learner Guide, twelve activity folders, spreadsheet/JSON viewer and an approved agentic AI builder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 Evaluate agentic AI builders for product research and development, comparing strengths, limitations, resources and skills.</w:t>
      </w:r>
    </w:p>
    <w:p>
      <w:pPr>
        <w:pStyle w:val="ListBullet"/>
      </w:pPr>
      <w:r>
        <w:t>LO2 Apply optimisation techniques to improve the efficiency, quality and control of agentic product-development workflows.</w:t>
      </w:r>
    </w:p>
    <w:p>
      <w:pPr>
        <w:pStyle w:val="ListBullet"/>
      </w:pPr>
      <w:r>
        <w:t>LO3 Evaluate the benefits and trade-offs of deploying agentic AI-powered product solutions and recommend a governed path forward.</w:t>
      </w:r>
    </w:p>
    <w:p>
      <w:pPr>
        <w:pStyle w:val="Heading1"/>
      </w:pPr>
      <w:r>
        <w:t>3. Facilitation Principles</w:t>
      </w:r>
    </w:p>
    <w:p>
      <w:pPr>
        <w:pStyle w:val="ListBullet"/>
      </w:pPr>
      <w:r>
        <w:t>Use the PPT for mechanism visualisation, technical dialogue and evidence interpretation; do not demonstrate click-by-click procedures from the slides.</w:t>
      </w:r>
    </w:p>
    <w:p>
      <w:pPr>
        <w:pStyle w:val="ListBullet"/>
      </w:pPr>
      <w:r>
        <w:t>Use the Learner Guide and activity PDFs for detailed procedures, prompts, troubleshooting and acceptance checks.</w:t>
      </w:r>
    </w:p>
    <w:p>
      <w:pPr>
        <w:pStyle w:val="ListBullet"/>
      </w:pPr>
      <w:r>
        <w:t>Keep live customer data, external publishing and irreversible actions outside learner scope unless the trainer stages a safe simulation.</w:t>
      </w:r>
    </w:p>
    <w:p>
      <w:pPr>
        <w:pStyle w:val="ListBullet"/>
      </w:pPr>
      <w:r>
        <w:t>Require observable execution evidence before accepting an agent response or learner conclusion.</w:t>
      </w:r>
    </w:p>
    <w:p>
      <w:pPr>
        <w:pStyle w:val="Heading1"/>
      </w:pPr>
      <w:r>
        <w:t>4. Day 1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09:00–09:30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Administration, attendance, context, LMS access and outcomes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Facilitated briefing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1–16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Attendance confirmation; learner context and materials access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09:30–11:00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1: product opportunity, JTBD and research-agent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worked examples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17–40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Opportunity brief and claim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11:00–13:00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1: builder comparison, readiness and build-buy-partner decisions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Technical explanation + critique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41–77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Weighted matrix and readiness heatmap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14:00–15:30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01–03: opportunity, builder comparison and evidence pack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individual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01–03 folders + LG §6.1–6.3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Opportunity brief, comparison and claim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15:30–17:15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2: product context, agent roles, handoffs and evaluation sets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78–113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Workflow canvas and evaluation contract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17:15–18:00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04–06: persona, workflow canvas and AI-ready PRD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setup + facilitated debrief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04–06 folders + Topic 2 checkpoint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Persona/JTBD map, handoff contract and PRD</w:t>
            </w:r>
          </w:p>
        </w:tc>
      </w:tr>
    </w:tbl>
    <w:p/>
    <w:p>
      <w:pPr>
        <w:pStyle w:val="Heading1"/>
      </w:pPr>
      <w:r>
        <w:t>5. Day 2 Detailed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Resources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outcome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09:00–10:00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07–08: prompt evaluation set and prototype experiment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verifier-led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07–08 folders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Frozen evaluation set and experiment ledger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10:00–11:30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3: deployment posture, architecture, security and observability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Mechanism dialogue + technical demonstration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139–169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Deployment decision and control rationale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11:30–13:00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09–10: deployment and risk-control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Guided activity; individual verification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09–10 folders + LG §6.9–6.10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Reference architecture and risk register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13:00–14:00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14:00–15:00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3: KPI feedback, rollout and risk-adjusted recommendation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Evidence analysis + worked comparison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170–199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Monitoring scorecard and rollout gate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15:00–16:00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Activities 11–12: KPI dashboard and executive recommendation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capstone + decision review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Activity 11–12 folders + LG §6.11–6.12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KPI tree and bounded recommendation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16:00–17:00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Written Assessment (SAQ)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assessment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Assessment paper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Six responses covering K1–K6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17:00–18:00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Individual performance assessment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Assessment tasks + activity evidence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Three tasks covering A1–A3</w:t>
            </w:r>
          </w:p>
        </w:tc>
      </w:tr>
    </w:tbl>
    <w:p/>
    <w:p>
      <w:pPr>
        <w:pStyle w:val="Heading1"/>
      </w:pPr>
      <w:r>
        <w:t>6. Assessment and Evidence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Assessor control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Written Assessment (SAQ)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K1–K6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Six open-ended responses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Identity check, independent completion, complete answer capture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A1–A3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Builder evaluation, optimised workflow and governed deployment recommendation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Observe task performance; preserve learner evidence; record outcome</w:t>
            </w:r>
          </w:p>
        </w:tc>
      </w:tr>
    </w:tbl>
    <w:p>
      <w:pPr>
        <w:pStyle w:val="Heading1"/>
      </w:pPr>
      <w:r>
        <w:t>7. Trainer Preparation Checklist</w:t>
      </w:r>
    </w:p>
    <w:p>
      <w:pPr>
        <w:pStyle w:val="ListBullet"/>
      </w:pPr>
      <w:r>
        <w:t>Confirm the course identity, version and 207-slide deck before class.</w:t>
      </w:r>
    </w:p>
    <w:p>
      <w:pPr>
        <w:pStyle w:val="ListBullet"/>
      </w:pPr>
      <w:r>
        <w:t>Verify that every activity folder contains README/PDF, brief.yaml, prompt, mock data, solution, verifier and evidence checklist.</w:t>
      </w:r>
    </w:p>
    <w:p>
      <w:pPr>
        <w:pStyle w:val="ListBullet"/>
      </w:pPr>
      <w:r>
        <w:t>Use a learner-safe agentic AI environment; keep live data, unapproved integrations and external publishing out of scope.</w:t>
      </w:r>
    </w:p>
    <w:p>
      <w:pPr>
        <w:pStyle w:val="ListBullet"/>
      </w:pPr>
      <w:r>
        <w:t>Confirm assessment candidate papers are learner-accessible; retain answer keys in trainer-private storage only.</w:t>
      </w:r>
    </w:p>
    <w:p>
      <w:pPr>
        <w:pStyle w:val="ListBullet"/>
      </w:pPr>
      <w:r>
        <w:t>Test LMS and attendance access without exposing credentials on projected screens.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b/>
        </w:rPr>
        <w:t xml:space="preserve">Current course page: </w:t>
      </w:r>
      <w:r>
        <w:t>https://www.tertiarycourses.com.sg/wsq-agentic-ai-for-product-development.html — Course identity, duration, learning outcomes, topics and assessment format</w:t>
      </w:r>
    </w:p>
    <w:p>
      <w:pPr>
        <w:pStyle w:val="ListBullet"/>
      </w:pPr>
      <w:r>
        <w:rPr>
          <w:b/>
        </w:rPr>
        <w:t xml:space="preserve">AI Product Management: </w:t>
      </w:r>
      <w:r>
        <w:t>Local reference/AI Product Management.pdf — AI-PM playground, natural-language development, rapid prototyping, specification, iteration and production handoff</w:t>
      </w:r>
    </w:p>
    <w:p>
      <w:pPr>
        <w:pStyle w:val="ListBullet"/>
      </w:pPr>
      <w:r>
        <w:rPr>
          <w:b/>
        </w:rPr>
        <w:t xml:space="preserve">Building AI-Powered Products: </w:t>
      </w:r>
      <w:r>
        <w:t>Local reference/Building AI-Powered Products.pdf — AI product-development lifecycle, product sense, goals and metrics, agent patterns, evaluation and production rollout</w:t>
      </w:r>
    </w:p>
    <w:p>
      <w:pPr>
        <w:pStyle w:val="ListBullet"/>
      </w:pPr>
      <w:r>
        <w:rPr>
          <w:b/>
        </w:rPr>
        <w:t xml:space="preserve">Building effective agents: </w:t>
      </w:r>
      <w:r>
        <w:t>https://www.anthropic.com/engineering/building-effective-agents — Agent/workflow distinction, simple composable patterns and complexity trade-offs</w:t>
      </w:r>
    </w:p>
    <w:p>
      <w:pPr>
        <w:pStyle w:val="ListBullet"/>
      </w:pPr>
      <w:r>
        <w:rPr>
          <w:b/>
        </w:rPr>
        <w:t xml:space="preserve">People + AI Guidebook: </w:t>
      </w:r>
      <w:r>
        <w:t>https://pair.withgoogle.com/guidebook-v2/ — User needs, success definition, mental models, feedback, control and graceful failure</w:t>
      </w:r>
    </w:p>
    <w:p>
      <w:pPr>
        <w:pStyle w:val="ListBullet"/>
      </w:pPr>
      <w:r>
        <w:rPr>
          <w:b/>
        </w:rPr>
        <w:t xml:space="preserve">NIST AI RMF: </w:t>
      </w:r>
      <w:r>
        <w:t>https://www.nist.gov/itl/ai-risk-management-framework — Govern, map, measure and manage risk throughout the AI lifecycle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