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the trend of using Claude Code and Codex to build workflows, the five principles of AI security and why workflow first is more secure, and the business value of workflow-first agentic automation.</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Overview of n8n and AI Agents</w:t>
        <w:tab/>
        <w:t>7</w:t>
      </w:r>
    </w:p>
    <w:p>
      <w:pPr>
        <w:tabs>
          <w:tab w:pos="9072" w:val="right" w:leader="dot"/>
        </w:tabs>
        <w:spacing w:after="60"/>
        <w:ind w:left="432"/>
      </w:pPr>
      <w:r>
        <w:rPr>
          <w:rFonts w:ascii="Arial" w:hAnsi="Arial"/>
          <w:b w:val="0"/>
          <w:color w:val="333333"/>
          <w:sz w:val="21"/>
        </w:rPr>
        <w:t>Why Agentic AI, and Why Workflow First</w:t>
        <w:tab/>
        <w:t>7</w:t>
      </w:r>
    </w:p>
    <w:p>
      <w:pPr>
        <w:tabs>
          <w:tab w:pos="9072" w:val="right" w:leader="dot"/>
        </w:tabs>
        <w:spacing w:after="60"/>
        <w:ind w:left="432"/>
      </w:pPr>
      <w:r>
        <w:rPr>
          <w:rFonts w:ascii="Arial" w:hAnsi="Arial"/>
          <w:b w:val="0"/>
          <w:color w:val="333333"/>
          <w:sz w:val="21"/>
        </w:rPr>
        <w:t>Lab 1 — n8n Trigger and Action (Event Flyer with QR Code)</w:t>
        <w:tab/>
        <w:t>14</w:t>
      </w:r>
    </w:p>
    <w:p>
      <w:pPr>
        <w:tabs>
          <w:tab w:pos="9072" w:val="right" w:leader="dot"/>
        </w:tabs>
        <w:spacing w:after="60"/>
        <w:ind w:left="432"/>
      </w:pPr>
      <w:r>
        <w:rPr>
          <w:rFonts w:ascii="Arial" w:hAnsi="Arial"/>
          <w:b w:val="0"/>
          <w:color w:val="333333"/>
          <w:sz w:val="21"/>
        </w:rPr>
        <w:t>Lab 2 — Webhook and AI Agent (Marina Trust Bank Onboarding)</w:t>
        <w:tab/>
        <w:t>18</w:t>
      </w:r>
    </w:p>
    <w:p>
      <w:pPr>
        <w:tabs>
          <w:tab w:pos="9072" w:val="right" w:leader="dot"/>
        </w:tabs>
        <w:spacing w:after="60"/>
      </w:pPr>
      <w:r>
        <w:rPr>
          <w:rFonts w:ascii="Arial" w:hAnsi="Arial"/>
          <w:b/>
          <w:color w:val="333333"/>
          <w:sz w:val="22"/>
        </w:rPr>
        <w:t>Topic 02 — Agentic Chatbot and Human in the Loop</w:t>
        <w:tab/>
        <w:t>21</w:t>
      </w:r>
    </w:p>
    <w:p>
      <w:pPr>
        <w:tabs>
          <w:tab w:pos="9072" w:val="right" w:leader="dot"/>
        </w:tabs>
        <w:spacing w:after="60"/>
        <w:ind w:left="432"/>
      </w:pPr>
      <w:r>
        <w:rPr>
          <w:rFonts w:ascii="Arial" w:hAnsi="Arial"/>
          <w:b w:val="0"/>
          <w:color w:val="333333"/>
          <w:sz w:val="21"/>
        </w:rPr>
        <w:t>Lab 3 — Chatbot Webhook (Investment Advisor)</w:t>
        <w:tab/>
        <w:t>23</w:t>
      </w:r>
    </w:p>
    <w:p>
      <w:pPr>
        <w:tabs>
          <w:tab w:pos="9072" w:val="right" w:leader="dot"/>
        </w:tabs>
        <w:spacing w:after="60"/>
        <w:ind w:left="432"/>
      </w:pPr>
      <w:r>
        <w:rPr>
          <w:rFonts w:ascii="Arial" w:hAnsi="Arial"/>
          <w:b w:val="0"/>
          <w:color w:val="333333"/>
          <w:sz w:val="21"/>
        </w:rPr>
        <w:t>Lab 4 — Human in the Loop (Client Rapport Assistant)</w:t>
        <w:tab/>
        <w:t>26</w:t>
      </w:r>
    </w:p>
    <w:p>
      <w:pPr>
        <w:tabs>
          <w:tab w:pos="9072" w:val="right" w:leader="dot"/>
        </w:tabs>
        <w:spacing w:after="60"/>
      </w:pPr>
      <w:r>
        <w:rPr>
          <w:rFonts w:ascii="Arial" w:hAnsi="Arial"/>
          <w:b/>
          <w:color w:val="333333"/>
          <w:sz w:val="22"/>
        </w:rPr>
        <w:t>Topic 03 — Retrieval-Augmented Generation (RAG)</w:t>
        <w:tab/>
        <w:t>30</w:t>
      </w:r>
    </w:p>
    <w:p>
      <w:pPr>
        <w:tabs>
          <w:tab w:pos="9072" w:val="right" w:leader="dot"/>
        </w:tabs>
        <w:spacing w:after="60"/>
        <w:ind w:left="432"/>
      </w:pPr>
      <w:r>
        <w:rPr>
          <w:rFonts w:ascii="Arial" w:hAnsi="Arial"/>
          <w:b w:val="0"/>
          <w:color w:val="333333"/>
          <w:sz w:val="21"/>
        </w:rPr>
        <w:t>Lab 5 — RAG Customer Care Chatbot (Cook &amp; Bake Academy)</w:t>
        <w:tab/>
        <w:t>32</w:t>
      </w:r>
    </w:p>
    <w:p>
      <w:pPr>
        <w:tabs>
          <w:tab w:pos="9072" w:val="right" w:leader="dot"/>
        </w:tabs>
        <w:spacing w:after="60"/>
      </w:pPr>
      <w:r>
        <w:rPr>
          <w:rFonts w:ascii="Arial" w:hAnsi="Arial"/>
          <w:b/>
          <w:color w:val="333333"/>
          <w:sz w:val="22"/>
        </w:rPr>
        <w:t>Taking This Back to Work</w:t>
        <w:tab/>
        <w:t>37</w:t>
      </w:r>
    </w:p>
    <w:p>
      <w:pPr>
        <w:tabs>
          <w:tab w:pos="9072" w:val="right" w:leader="dot"/>
        </w:tabs>
        <w:spacing w:after="60"/>
      </w:pPr>
      <w:r>
        <w:rPr>
          <w:rFonts w:ascii="Arial" w:hAnsi="Arial"/>
          <w:b/>
          <w:color w:val="333333"/>
          <w:sz w:val="22"/>
        </w:rPr>
        <w:t>Assessment</w:t>
        <w:tab/>
        <w:t>37</w:t>
      </w:r>
    </w:p>
    <w:p>
      <w:pPr>
        <w:tabs>
          <w:tab w:pos="9072" w:val="right" w:leader="dot"/>
        </w:tabs>
        <w:spacing w:after="60"/>
      </w:pPr>
      <w:r>
        <w:rPr>
          <w:rFonts w:ascii="Arial" w:hAnsi="Arial"/>
          <w:b/>
          <w:color w:val="333333"/>
          <w:sz w:val="22"/>
        </w:rPr>
        <w:t>Glossary</w:t>
        <w:tab/>
        <w:t>37</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21–68.)</w:t>
      </w:r>
    </w:p>
    <w:p>
      <w:pPr>
        <w:pStyle w:val="Heading2"/>
      </w:pPr>
      <w:r>
        <w:t>Why Agentic AI, and Why Workflow First</w:t>
      </w:r>
    </w:p>
    <w:p>
      <w:r>
        <w:t>Deck reference: Slides 21–30.</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AGENTIC AI is the broad category: any AI system that pursues a goal over many steps — it plans, acts through tools, checks the result and adapts. It is usually started by a person or a trigger and stops when the task is done; a Claude Code or Codex session, or an n8n workflow with AI steps, are agentic AI. AI AGENTS are a special type of agentic AI system that exists 24/7. They are usually installed in the cloud so they serve all the time, with no laptop needing to be open: they wait for events — messages, emails, webhooks, schedules — act on them around the clock, and keep their memory across conversations and days. OpenClaw, Hermes Agent and an n8n agent running on a cloud instance behind a webhook are AI agents. Every AI agent is agentic AI, but not every agentic AI is an AI agent — the difference is that an AI agent is always on.</w:t>
      </w:r>
    </w:p>
    <w:p>
      <w:r>
        <w:rPr>
          <w:b/>
          <w:color w:val="1F6FEB"/>
          <w:sz w:val="22"/>
        </w:rPr>
        <w:t>Workflow first vs agent first</w:t>
      </w:r>
    </w:p>
    <w:p>
      <w:r>
        <w:t>There are two ways to build agentic automation. WORKFLOW FIRST is the modern form of rule-based (RPA-style) automation: the workflow owns the path, and its steps can be ordinary nodes, AI nodes or even AI Agent nodes — exactly as in n8n, where an AI Agent node sits inside a workflow. AGENT FIRST hands the whole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Who decides the path</w:t>
            </w:r>
          </w:p>
        </w:tc>
        <w:tc>
          <w:tcPr>
            <w:tcW w:type="dxa" w:w="2880"/>
          </w:tcPr>
          <w:p>
            <w:r/>
            <w:r>
              <w:rPr>
                <w:sz w:val="19"/>
              </w:rPr>
              <w:t>The workflow — steps may be AI nodes or AI Agent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agent first is more efficient. Because reliability matters most in business, companies try to make as much of a process deterministic as possible. (Source: n8n, In The Loop 2026 opening keynote and product direction.)</w:t>
      </w:r>
    </w:p>
    <w:p>
      <w:r>
        <w:rPr>
          <w:b/>
          <w:color w:val="1F6FEB"/>
          <w:sz w:val="22"/>
        </w:rPr>
        <w:t>The trend: AI agents build the workflow</w:t>
      </w:r>
    </w:p>
    <w:p>
      <w:r>
        <w:t>AI-powered coding tools such as Claude Code and Codex are AI agents themselves, and they have made designing, building and changing workflows fast and cheap. The trend is therefore to use them to CREATE the workflow — describe the process in plain English, let Claude Code or Codex draft the n8n workflow, review and test it — and then let the deterministic workflow RUN the process, with AI nodes only where judgement is needed. The agent's efficiency goes into building, the workflow's determinism into running.</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Why workflow first is more secure</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61–64.</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site-lab1.png"/>
                    <pic:cNvPicPr/>
                  </pic:nvPicPr>
                  <pic:blipFill>
                    <a:blip r:embed="rId12"/>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site-lab1-flyer.png"/>
                    <pic:cNvPicPr/>
                  </pic:nvPicPr>
                  <pic:blipFill>
                    <a:blip r:embed="rId13"/>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6" name="Picture 6"/>
            <wp:cNvGraphicFramePr>
              <a:graphicFrameLocks noChangeAspect="1"/>
            </wp:cNvGraphicFramePr>
            <a:graphic>
              <a:graphicData uri="http://schemas.openxmlformats.org/drawingml/2006/picture">
                <pic:pic>
                  <pic:nvPicPr>
                    <pic:cNvPr id="0" name="canvas-lab1.png"/>
                    <pic:cNvPicPr/>
                  </pic:nvPicPr>
                  <pic:blipFill>
                    <a:blip r:embed="rId14"/>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65–67.</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7" name="Picture 7"/>
            <wp:cNvGraphicFramePr>
              <a:graphicFrameLocks noChangeAspect="1"/>
            </wp:cNvGraphicFramePr>
            <a:graphic>
              <a:graphicData uri="http://schemas.openxmlformats.org/drawingml/2006/picture">
                <pic:pic>
                  <pic:nvPicPr>
                    <pic:cNvPr id="0" name="site-lab2.png"/>
                    <pic:cNvPicPr/>
                  </pic:nvPicPr>
                  <pic:blipFill>
                    <a:blip r:embed="rId15"/>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8" name="Picture 8"/>
            <wp:cNvGraphicFramePr>
              <a:graphicFrameLocks noChangeAspect="1"/>
            </wp:cNvGraphicFramePr>
            <a:graphic>
              <a:graphicData uri="http://schemas.openxmlformats.org/drawingml/2006/picture">
                <pic:pic>
                  <pic:nvPicPr>
                    <pic:cNvPr id="0" name="canvas-lab2.png"/>
                    <pic:cNvPicPr/>
                  </pic:nvPicPr>
                  <pic:blipFill>
                    <a:blip r:embed="rId16"/>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69–80.)</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74–76.</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site-lab3.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0" name="Picture 10"/>
            <wp:cNvGraphicFramePr>
              <a:graphicFrameLocks noChangeAspect="1"/>
            </wp:cNvGraphicFramePr>
            <a:graphic>
              <a:graphicData uri="http://schemas.openxmlformats.org/drawingml/2006/picture">
                <pic:pic>
                  <pic:nvPicPr>
                    <pic:cNvPr id="0" name="canvas-lab3.png"/>
                    <pic:cNvPicPr/>
                  </pic:nvPicPr>
                  <pic:blipFill>
                    <a:blip r:embed="rId18"/>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77–79.</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1" name="Picture 11"/>
            <wp:cNvGraphicFramePr>
              <a:graphicFrameLocks noChangeAspect="1"/>
            </wp:cNvGraphicFramePr>
            <a:graphic>
              <a:graphicData uri="http://schemas.openxmlformats.org/drawingml/2006/picture">
                <pic:pic>
                  <pic:nvPicPr>
                    <pic:cNvPr id="0" name="site-lab4.png"/>
                    <pic:cNvPicPr/>
                  </pic:nvPicPr>
                  <pic:blipFill>
                    <a:blip r:embed="rId19"/>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2" name="Picture 12"/>
            <wp:cNvGraphicFramePr>
              <a:graphicFrameLocks noChangeAspect="1"/>
            </wp:cNvGraphicFramePr>
            <a:graphic>
              <a:graphicData uri="http://schemas.openxmlformats.org/drawingml/2006/picture">
                <pic:pic>
                  <pic:nvPicPr>
                    <pic:cNvPr id="0" name="canvas-lab4.png"/>
                    <pic:cNvPicPr/>
                  </pic:nvPicPr>
                  <pic:blipFill>
                    <a:blip r:embed="rId20"/>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81–93.)</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3" name="Picture 13"/>
            <wp:cNvGraphicFramePr>
              <a:graphicFrameLocks noChangeAspect="1"/>
            </wp:cNvGraphicFramePr>
            <a:graphic>
              <a:graphicData uri="http://schemas.openxmlformats.org/drawingml/2006/picture">
                <pic:pic>
                  <pic:nvPicPr>
                    <pic:cNvPr id="0" name="rag-concept.png"/>
                    <pic:cNvPicPr/>
                  </pic:nvPicPr>
                  <pic:blipFill>
                    <a:blip r:embed="rId21"/>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4" name="Picture 14"/>
            <wp:cNvGraphicFramePr>
              <a:graphicFrameLocks noChangeAspect="1"/>
            </wp:cNvGraphicFramePr>
            <a:graphic>
              <a:graphicData uri="http://schemas.openxmlformats.org/drawingml/2006/picture">
                <pic:pic>
                  <pic:nvPicPr>
                    <pic:cNvPr id="0" name="text-embedding.png"/>
                    <pic:cNvPicPr/>
                  </pic:nvPicPr>
                  <pic:blipFill>
                    <a:blip r:embed="rId22"/>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5" name="Picture 15"/>
            <wp:cNvGraphicFramePr>
              <a:graphicFrameLocks noChangeAspect="1"/>
            </wp:cNvGraphicFramePr>
            <a:graphic>
              <a:graphicData uri="http://schemas.openxmlformats.org/drawingml/2006/picture">
                <pic:pic>
                  <pic:nvPicPr>
                    <pic:cNvPr id="0" name="vector-database.png"/>
                    <pic:cNvPicPr/>
                  </pic:nvPicPr>
                  <pic:blipFill>
                    <a:blip r:embed="rId23"/>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90–93.</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site-lab5.png"/>
                    <pic:cNvPicPr/>
                  </pic:nvPicPr>
                  <pic:blipFill>
                    <a:blip r:embed="rId24"/>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7" name="Picture 17"/>
            <wp:cNvGraphicFramePr>
              <a:graphicFrameLocks noChangeAspect="1"/>
            </wp:cNvGraphicFramePr>
            <a:graphic>
              <a:graphicData uri="http://schemas.openxmlformats.org/drawingml/2006/picture">
                <pic:pic>
                  <pic:nvPicPr>
                    <pic:cNvPr id="0" name="canvas-lab5-ingest.png"/>
                    <pic:cNvPicPr/>
                  </pic:nvPicPr>
                  <pic:blipFill>
                    <a:blip r:embed="rId25"/>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8" name="Picture 18"/>
            <wp:cNvGraphicFramePr>
              <a:graphicFrameLocks noChangeAspect="1"/>
            </wp:cNvGraphicFramePr>
            <a:graphic>
              <a:graphicData uri="http://schemas.openxmlformats.org/drawingml/2006/picture">
                <pic:pic>
                  <pic:nvPicPr>
                    <pic:cNvPr id="0" name="canvas-lab5-agent.png"/>
                    <pic:cNvPicPr/>
                  </pic:nvPicPr>
                  <pic:blipFill>
                    <a:blip r:embed="rId26"/>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