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for Business Process Automation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TGS-2024045801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2-day (14-hour) lesson plan for Agentic AI for Business Process Automation, aligned to the 5 hands-on labs and TSC AER-TEM-3026-1.1.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Day 2 rescheduled so the final assessment follows instruction within the training day; daily timing now driven from a single source shared with the slide deck; assessment time stated separately from instructional time.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a screenshot of each lab's application — the four lab websites with their chat widgets open, plus the Lab 1 n8n canvas and sample flyer — to the slide deck and the Learner Guide.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Skills Framework Alignment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n8n, AI Agents and Agentic Chatbots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Human in the Loop, RAG and Assessment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topics and learning outcomes)</w:t>
        <w:tab/>
        <w:t>7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Agentic AI for Business Process Automation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TGS-2024045801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Title / Code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Artificial Intelligence Application  ·  AER-TEM-3026-1.1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7 training hours per day (14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Day 1: 9:30 am – 6:00 pm.  Day 2: 9:00 am – 5:30 pm instruction, assessment to 7:45 pm.  A 1-hour lunch and two 15-minute tea breaks, additional to instructional time.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workflow-automation labs built in n8n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Explain what n8n and AI agents are, and build automated workflows using triggers and actions.</w:t>
      </w:r>
    </w:p>
    <w:p>
      <w:pPr>
        <w:pStyle w:val="ListBullet"/>
      </w:pPr>
      <w:r>
        <w:rPr>
          <w:sz w:val="21"/>
        </w:rPr>
        <w:t>LO2: Implement AI agent applications that are triggered by webhooks and integrated with business systems.</w:t>
      </w:r>
    </w:p>
    <w:p>
      <w:pPr>
        <w:pStyle w:val="ListBullet"/>
      </w:pPr>
      <w:r>
        <w:rPr>
          <w:sz w:val="21"/>
        </w:rPr>
        <w:t>LO3: Design agentic chatbot workflows that operate safely within business and regulatory constraints.</w:t>
      </w:r>
    </w:p>
    <w:p>
      <w:pPr>
        <w:pStyle w:val="ListBullet"/>
      </w:pPr>
      <w:r>
        <w:rPr>
          <w:sz w:val="21"/>
        </w:rPr>
        <w:t>LO4: Apply human-in-the-loop approval so that sensitive actions are authorised by a person.</w:t>
      </w:r>
    </w:p>
    <w:p>
      <w:pPr>
        <w:pStyle w:val="ListBullet"/>
      </w:pPr>
      <w:r>
        <w:rPr>
          <w:sz w:val="21"/>
        </w:rPr>
        <w:t>LO5: Deploy Retrieval-Augmented Generation (RAG) to ground an agent in an organisation's own documents.</w:t>
      </w:r>
    </w:p>
    <w:p>
      <w:pPr>
        <w:pStyle w:val="Heading1"/>
      </w:pPr>
      <w:r>
        <w:t>Skills Framework Alignment</w:t>
      </w:r>
    </w:p>
    <w:p>
      <w:r>
        <w:t>This course is mapped to the TSC Artificial Intelligence Application (AER-TEM-3026-1.1).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20"/>
              </w:rPr>
              <w:t>Code</w:t>
            </w:r>
          </w:p>
        </w:tc>
        <w:tc>
          <w:tcPr>
            <w:tcW w:type="dxa" w:w="8496"/>
            <w:shd w:val="clear" w:color="auto" w:fill="1F6FEB"/>
          </w:tcPr>
          <w:p>
            <w:r/>
            <w:r>
              <w:rPr>
                <w:b/>
                <w:color w:val="FFFFFF"/>
                <w:sz w:val="20"/>
              </w:rPr>
              <w:t>Ability / Knowledge statement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A1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Implement AI applications in collaboration with technology service providers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A2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Deploy AI workflows according to plan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A3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Identify and report any issues with the AI applications and data collected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K1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Background and basics of AI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K2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Fundamental concepts and methods of statistics and programming for data science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K3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Mathematics and computing theories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K4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Machine learning techniques and applications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K5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Principles of data management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K6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Software development methodologies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K7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Types of AI applications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K8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AI implementation procedures</w:t>
            </w:r>
          </w:p>
        </w:tc>
      </w:tr>
    </w:tbl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n8n build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Written Assessment covers the Knowledge (K) statements; the Practical Performance covers the Ability (A) statements.</w:t>
      </w:r>
    </w:p>
    <w:p>
      <w:pPr>
        <w:pStyle w:val="ListBullet"/>
      </w:pPr>
      <w:r>
        <w:rPr>
          <w:sz w:val="21"/>
        </w:rPr>
        <w:t>Final assessment is conducted at the end of Day 2.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n8n, AI Agents and Agentic Chatbots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70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 (with slide references)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ground rules, course outline, learning outcomes, Skills Framework alignment and mandatory digital attendance (AM). Slides 2–19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 — Why agentic AI: the evolution of AI, agentic vs generative AI, from RPA to Agentic Process Automation, business value and use cases. Slides 20–28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Overview of n8n and AI Agents: what n8n is, hosting options, credentials, nodes, triggers and actions, JSON and expressions, execution modes. Slides 29–37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13:30–14:15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What is an AI agent: model, system instruction, memory and tools; webhooks as the front door; structured output. Slides 38–42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14:15–15:30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1 — Lab 1 — n8n Trigger and Action (Event Flyer with QR Code). Slides 44–60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15:45–17:30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2 — Lab 2 — Webhook and AI Agent (Marina Trust Bank Onboarding). Slides 61–77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17:30–18:00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Instructional time: 420 minutes (7 hours).  Tea breaks and lunch are additional to instructional time.</w:t>
      </w:r>
    </w:p>
    <w:p>
      <w:pPr>
        <w:pStyle w:val="Heading2"/>
      </w:pPr>
      <w:r>
        <w:t>Day 2 — Human in the Loop, RAG and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70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 (with slide references)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9:15–10:15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Agentic Chatbot and Human in the Loop: what an agentic workflow is, rule-based vs agentic automation, safe chatbot design and memory. Slides 79–84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10:15–10:30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10:30–12:00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3 — Lab 3 — Chatbot Webhook (Investment Advisor): the contact gate and the four compliance probes. Slides 90–105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12:00–13:00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13:00–13:45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(continued) — Human in the loop: when a human belongs in the workflow, the approval pattern and building the accountability trail. Slides 85–88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13:45–15:00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4 — Lab 4 — Human in the Loop (Client Rapport Assistant): the approve and decline paths. Slides 106–124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15:15–16:00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Retrieval-Augmented Generation: tokenization, embeddings, vector stores, chunking and grounding against hallucination. Slides 126–136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16:00–17:15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5 — Lab 5 — RAG Customer Care Chatbot (Cook &amp; Bake Academy): ingestion and the grounded chatbot. Slides 138–158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17:15–17:30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recap, taking it back to work, Q&amp;A. Slides 160–162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17:30–17:45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 and Assessment digital attendance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17:45–18:45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18:45–19:45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n8n build tasks, 1 hour, open book. TRAQOM survey and Assessment digital attendance</w:t>
            </w:r>
          </w:p>
        </w:tc>
      </w:tr>
    </w:tbl>
    <w:p>
      <w:r>
        <w:rPr>
          <w:i/>
          <w:color w:val="555B66"/>
          <w:sz w:val="19"/>
        </w:rPr>
        <w:t>Instructional time: 420 minutes (7 hours).  Assessment: 2 hours (WA 1 hour + PP 1 hour), plus a 15-minute briefing.  Tea breaks and lunch are additional to instructional time.</w:t>
      </w:r>
    </w:p>
    <w:p>
      <w:r>
        <w:rPr>
          <w:b/>
          <w:sz w:val="20"/>
        </w:rPr>
        <w:t>Total instructional time across the course: 14 hours (2 days × 7 hours), plus 2 hours of assessment (WA 1 hour + PP 1 hour) and a 15-minute assessment briefing.</w:t>
      </w:r>
    </w:p>
    <w:p>
      <w:pPr>
        <w:pStyle w:val="Heading1"/>
      </w:pPr>
      <w:r>
        <w:t>Lab Reference (aligned to topics and learning outcomes)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Outcomes</w:t>
            </w:r>
          </w:p>
        </w:tc>
        <w:tc>
          <w:tcPr>
            <w:tcW w:type="dxa" w:w="230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  <w:tc>
          <w:tcPr>
            <w:tcW w:type="dxa" w:w="201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Deck slides</w:t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Overview of n8n and AI Agents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LO1 · LO2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  <w:tc>
          <w:tcPr>
            <w:tcW w:type="dxa" w:w="2016"/>
          </w:tcPr>
          <w:p>
            <w:r/>
            <w:r>
              <w:rPr>
                <w:rFonts w:ascii="Arial" w:hAnsi="Arial"/>
                <w:b w:val="0"/>
                <w:sz w:val="19"/>
              </w:rPr>
              <w:t>Slides 29–78</w:t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Agentic Chatbot and Human in the Loop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LO3 · LO4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</w:t>
            </w:r>
          </w:p>
        </w:tc>
        <w:tc>
          <w:tcPr>
            <w:tcW w:type="dxa" w:w="2016"/>
          </w:tcPr>
          <w:p>
            <w:r/>
            <w:r>
              <w:rPr>
                <w:rFonts w:ascii="Arial" w:hAnsi="Arial"/>
                <w:b w:val="0"/>
                <w:sz w:val="19"/>
              </w:rPr>
              <w:t>Slides 79–125</w:t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Retrieval-Augmented Generation (RAG)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LO5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5</w:t>
            </w:r>
          </w:p>
        </w:tc>
        <w:tc>
          <w:tcPr>
            <w:tcW w:type="dxa" w:w="2016"/>
          </w:tcPr>
          <w:p>
            <w:r/>
            <w:r>
              <w:rPr>
                <w:rFonts w:ascii="Arial" w:hAnsi="Arial"/>
                <w:b w:val="0"/>
                <w:sz w:val="19"/>
              </w:rPr>
              <w:t>Slides 126–159</w:t>
            </w:r>
          </w:p>
        </w:tc>
      </w:tr>
    </w:tbl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