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Foundation — Agentic AI in Business Process Automation</w:t>
        <w:tab/>
        <w:t>6</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Lab 1 — n8n Trigger and Action (Event Flyer with QR Code)</w:t>
        <w:tab/>
        <w:t>12</w:t>
      </w:r>
    </w:p>
    <w:p>
      <w:pPr>
        <w:tabs>
          <w:tab w:pos="9072" w:val="right" w:leader="dot"/>
        </w:tabs>
        <w:spacing w:after="60"/>
        <w:ind w:left="432"/>
      </w:pPr>
      <w:r>
        <w:rPr>
          <w:rFonts w:ascii="Arial" w:hAnsi="Arial"/>
          <w:b w:val="0"/>
          <w:color w:val="333333"/>
          <w:sz w:val="21"/>
        </w:rPr>
        <w:t>Lab 2 — Webhook and AI Agent (Marina Trust Bank Onboarding)</w:t>
        <w:tab/>
        <w:t>15</w:t>
      </w:r>
    </w:p>
    <w:p>
      <w:pPr>
        <w:tabs>
          <w:tab w:pos="9072" w:val="right" w:leader="dot"/>
        </w:tabs>
        <w:spacing w:after="60"/>
      </w:pPr>
      <w:r>
        <w:rPr>
          <w:rFonts w:ascii="Arial" w:hAnsi="Arial"/>
          <w:b/>
          <w:color w:val="333333"/>
          <w:sz w:val="22"/>
        </w:rPr>
        <w:t>Topic 02 — Agentic Chatbot and Human in the Loop</w:t>
        <w:tab/>
        <w:t>19</w:t>
      </w:r>
    </w:p>
    <w:p>
      <w:pPr>
        <w:tabs>
          <w:tab w:pos="9072" w:val="right" w:leader="dot"/>
        </w:tabs>
        <w:spacing w:after="60"/>
        <w:ind w:left="432"/>
      </w:pPr>
      <w:r>
        <w:rPr>
          <w:rFonts w:ascii="Arial" w:hAnsi="Arial"/>
          <w:b w:val="0"/>
          <w:color w:val="333333"/>
          <w:sz w:val="21"/>
        </w:rPr>
        <w:t>Lab 3 — Chatbot Webhook (Investment Advisor)</w:t>
        <w:tab/>
        <w:t>20</w:t>
      </w:r>
    </w:p>
    <w:p>
      <w:pPr>
        <w:tabs>
          <w:tab w:pos="9072" w:val="right" w:leader="dot"/>
        </w:tabs>
        <w:spacing w:after="60"/>
        <w:ind w:left="432"/>
      </w:pPr>
      <w:r>
        <w:rPr>
          <w:rFonts w:ascii="Arial" w:hAnsi="Arial"/>
          <w:b w:val="0"/>
          <w:color w:val="333333"/>
          <w:sz w:val="21"/>
        </w:rPr>
        <w:t>Lab 4 — Human in the Loop (Client Rapport Assistant)</w:t>
        <w:tab/>
        <w:t>23</w:t>
      </w:r>
    </w:p>
    <w:p>
      <w:pPr>
        <w:tabs>
          <w:tab w:pos="9072" w:val="right" w:leader="dot"/>
        </w:tabs>
        <w:spacing w:after="60"/>
      </w:pPr>
      <w:r>
        <w:rPr>
          <w:rFonts w:ascii="Arial" w:hAnsi="Arial"/>
          <w:b/>
          <w:color w:val="333333"/>
          <w:sz w:val="22"/>
        </w:rPr>
        <w:t>Topic 03 — Retrieval-Augmented Generation (RAG)</w:t>
        <w:tab/>
        <w:t>27</w:t>
      </w:r>
    </w:p>
    <w:p>
      <w:pPr>
        <w:tabs>
          <w:tab w:pos="9072" w:val="right" w:leader="dot"/>
        </w:tabs>
        <w:spacing w:after="60"/>
        <w:ind w:left="432"/>
      </w:pPr>
      <w:r>
        <w:rPr>
          <w:rFonts w:ascii="Arial" w:hAnsi="Arial"/>
          <w:b w:val="0"/>
          <w:color w:val="333333"/>
          <w:sz w:val="21"/>
        </w:rPr>
        <w:t>Lab 5 — RAG Customer Care Chatbot (Cook &amp; Bake Academy)</w:t>
        <w:tab/>
        <w:t>30</w:t>
      </w:r>
    </w:p>
    <w:p>
      <w:pPr>
        <w:tabs>
          <w:tab w:pos="9072" w:val="right" w:leader="dot"/>
        </w:tabs>
        <w:spacing w:after="60"/>
      </w:pPr>
      <w:r>
        <w:rPr>
          <w:rFonts w:ascii="Arial" w:hAnsi="Arial"/>
          <w:b/>
          <w:color w:val="333333"/>
          <w:sz w:val="22"/>
        </w:rPr>
        <w:t>Taking This Back to Work</w:t>
        <w:tab/>
        <w:t>35</w:t>
      </w:r>
    </w:p>
    <w:p>
      <w:pPr>
        <w:tabs>
          <w:tab w:pos="9072" w:val="right" w:leader="dot"/>
        </w:tabs>
        <w:spacing w:after="60"/>
      </w:pPr>
      <w:r>
        <w:rPr>
          <w:rFonts w:ascii="Arial" w:hAnsi="Arial"/>
          <w:b/>
          <w:color w:val="333333"/>
          <w:sz w:val="22"/>
        </w:rPr>
        <w:t>Assessment</w:t>
        <w:tab/>
        <w:t>35</w:t>
      </w:r>
    </w:p>
    <w:p>
      <w:pPr>
        <w:tabs>
          <w:tab w:pos="9072" w:val="right" w:leader="dot"/>
        </w:tabs>
        <w:spacing w:after="60"/>
      </w:pPr>
      <w:r>
        <w:rPr>
          <w:rFonts w:ascii="Arial" w:hAnsi="Arial"/>
          <w:b/>
          <w:color w:val="333333"/>
          <w:sz w:val="22"/>
        </w:rPr>
        <w:t>Glossary</w:t>
        <w:tab/>
        <w:t>35</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Foundation — Agentic AI in Business Process Automation</w:t>
      </w:r>
    </w:p>
    <w:p>
      <w:r>
        <w:rPr>
          <w:b/>
          <w:color w:val="1F6FEB"/>
          <w:sz w:val="22"/>
        </w:rPr>
        <w:t>The evolution of AI</w:t>
      </w:r>
    </w:p>
    <w:p>
      <w:r>
        <w:t>Artificial Intelligence began in the 1950s with Turing's test and rule-based symbolic systems. Machine Learning in the 1990s shifted the field from hand-written rules to learning patterns from data. Deep Learning in the 2000s added neural networks trained on large datasets. The 2017 Transformer architecture and its attention mechanism produced the Generative AI of the 2020s. Agentic AI, from around 2024, is the current step: models given goals, tools and memory, which plan and act rather than answer once.</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From RPA to Agentic Process Automation</w:t>
      </w:r>
    </w:p>
    <w:p>
      <w:r>
        <w:t>Robotic Process Automation (RPA) follows a rigid path that a person constructs by hand — every branch is wired in advance, and anything unforeseen breaks it. Agentic Process Automation (APA) lets an agent orchestrate the workflow, so it can handle both rigid and flexible tasks.</w:t>
      </w:r>
    </w:p>
    <w:p>
      <w:pPr>
        <w:jc w:val="center"/>
      </w:pPr>
      <w:r>
        <w:drawing>
          <wp:inline xmlns:a="http://schemas.openxmlformats.org/drawingml/2006/main" xmlns:pic="http://schemas.openxmlformats.org/drawingml/2006/picture">
            <wp:extent cx="5669280" cy="2257213"/>
            <wp:docPr id="4" name="Picture 4"/>
            <wp:cNvGraphicFramePr>
              <a:graphicFrameLocks noChangeAspect="1"/>
            </wp:cNvGraphicFramePr>
            <a:graphic>
              <a:graphicData uri="http://schemas.openxmlformats.org/drawingml/2006/picture">
                <pic:pic>
                  <pic:nvPicPr>
                    <pic:cNvPr id="0" name="rpa-to-apa.png"/>
                    <pic:cNvPicPr/>
                  </pic:nvPicPr>
                  <pic:blipFill>
                    <a:blip r:embed="rId12"/>
                    <a:stretch>
                      <a:fillRect/>
                    </a:stretch>
                  </pic:blipFill>
                  <pic:spPr>
                    <a:xfrm>
                      <a:off x="0" y="0"/>
                      <a:ext cx="5669280" cy="2257213"/>
                    </a:xfrm>
                    <a:prstGeom prst="rect"/>
                  </pic:spPr>
                </pic:pic>
              </a:graphicData>
            </a:graphic>
          </wp:inline>
        </w:drawing>
      </w:r>
    </w:p>
    <w:p>
      <w:pPr>
        <w:jc w:val="center"/>
      </w:pPr>
      <w:r>
        <w:rPr>
          <w:i/>
          <w:color w:val="555B66"/>
          <w:sz w:val="18"/>
        </w:rPr>
        <w:t>RPA constructs the workflow manually and can only handle rigid tasks; APA orchestrates it automatically and handles flexible ones too.</w:t>
      </w:r>
    </w:p>
    <w:p>
      <w:r>
        <w:rPr>
          <w:b/>
          <w:color w:val="1F6FEB"/>
          <w:sz w:val="22"/>
        </w:rPr>
        <w:t>Business value</w:t>
      </w:r>
    </w:p>
    <w:p>
      <w:pPr>
        <w:pStyle w:val="ListBullet"/>
      </w:pPr>
      <w:r>
        <w:t>Free people from repetitive administrative work — scheduling, form processing, data entry, report generation and email routing.</w:t>
      </w:r>
    </w:p>
    <w:p>
      <w:pPr>
        <w:pStyle w:val="ListBullet"/>
      </w:pPr>
      <w:r>
        <w:t>Shift human effort to judgement, relationships and strategy.</w:t>
      </w:r>
    </w:p>
    <w:p>
      <w:pPr>
        <w:pStyle w:val="ListBullet"/>
      </w:pPr>
      <w:r>
        <w:t>React to events in real time — a form submission, a payment, a customer message.</w:t>
      </w:r>
    </w:p>
    <w:p>
      <w:pPr>
        <w:pStyle w:val="ListBullet"/>
      </w:pPr>
      <w:r>
        <w:t>Operate around the clock, with the same care at 2am as at 2pm.</w:t>
      </w:r>
    </w:p>
    <w:p>
      <w:pPr>
        <w:pStyle w:val="ListBullet"/>
      </w:pPr>
      <w:r>
        <w:t>Reduce human error by applying the same rules to every case and logging every decision.</w:t>
      </w:r>
    </w:p>
    <w:p>
      <w:pPr>
        <w:pStyle w:val="ListBullet"/>
      </w:pPr>
      <w:r>
        <w:t>Scale volume without proportional headcount.</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p>
      <w:pPr>
        <w:pStyle w:val="Heading1"/>
      </w:pPr>
      <w:r>
        <w:t>Topic 01 — Overview of n8n and AI Agents</w:t>
      </w:r>
    </w:p>
    <w:p>
      <w:r>
        <w:t>Workflow automation · Triggers &amp; actions · LLM agents · Webhooks   (Deck reference: Slides 27–65.)</w:t>
      </w:r>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58–61.</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62–64.</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66–77.)</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71–73.</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74–76.</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78–90.)</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87–90.</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