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Lab step-by-step removed from the deck and now carried only by this guide, with a rendered n8n canvas screenshot per lab. New concept sections: trigger nodes, data-processing nodes, the four components of an AI agent, instruction design with worked examples, model parameters and temperature,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AI first, the trend of using Claude Code and Codex to build workflows, the five principles of AI security and why workflow first is more secure, and the business value of workflow-first agentic automation.</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Topic 01 — Overview of n8n and AI Agents</w:t>
        <w:tab/>
        <w:t>7</w:t>
      </w:r>
    </w:p>
    <w:p>
      <w:pPr>
        <w:tabs>
          <w:tab w:pos="9072" w:val="right" w:leader="dot"/>
        </w:tabs>
        <w:spacing w:after="60"/>
        <w:ind w:left="432"/>
      </w:pPr>
      <w:r>
        <w:rPr>
          <w:rFonts w:ascii="Arial" w:hAnsi="Arial"/>
          <w:b w:val="0"/>
          <w:color w:val="333333"/>
          <w:sz w:val="21"/>
        </w:rPr>
        <w:t>Why Agentic AI, and Why Workflow First</w:t>
        <w:tab/>
        <w:t>7</w:t>
      </w:r>
    </w:p>
    <w:p>
      <w:pPr>
        <w:tabs>
          <w:tab w:pos="9072" w:val="right" w:leader="dot"/>
        </w:tabs>
        <w:spacing w:after="60"/>
        <w:ind w:left="432"/>
      </w:pPr>
      <w:r>
        <w:rPr>
          <w:rFonts w:ascii="Arial" w:hAnsi="Arial"/>
          <w:b w:val="0"/>
          <w:color w:val="333333"/>
          <w:sz w:val="21"/>
        </w:rPr>
        <w:t>Lab 1 — n8n Trigger and Action (Event Flyer with QR Code)</w:t>
        <w:tab/>
        <w:t>14</w:t>
      </w:r>
    </w:p>
    <w:p>
      <w:pPr>
        <w:tabs>
          <w:tab w:pos="9072" w:val="right" w:leader="dot"/>
        </w:tabs>
        <w:spacing w:after="60"/>
        <w:ind w:left="432"/>
      </w:pPr>
      <w:r>
        <w:rPr>
          <w:rFonts w:ascii="Arial" w:hAnsi="Arial"/>
          <w:b w:val="0"/>
          <w:color w:val="333333"/>
          <w:sz w:val="21"/>
        </w:rPr>
        <w:t>Lab 2 — Webhook and AI Agent (Marina Trust Bank Onboarding)</w:t>
        <w:tab/>
        <w:t>18</w:t>
      </w:r>
    </w:p>
    <w:p>
      <w:pPr>
        <w:tabs>
          <w:tab w:pos="9072" w:val="right" w:leader="dot"/>
        </w:tabs>
        <w:spacing w:after="60"/>
      </w:pPr>
      <w:r>
        <w:rPr>
          <w:rFonts w:ascii="Arial" w:hAnsi="Arial"/>
          <w:b/>
          <w:color w:val="333333"/>
          <w:sz w:val="22"/>
        </w:rPr>
        <w:t>Topic 02 — Agentic Chatbot and Human in the Loop</w:t>
        <w:tab/>
        <w:t>21</w:t>
      </w:r>
    </w:p>
    <w:p>
      <w:pPr>
        <w:tabs>
          <w:tab w:pos="9072" w:val="right" w:leader="dot"/>
        </w:tabs>
        <w:spacing w:after="60"/>
        <w:ind w:left="432"/>
      </w:pPr>
      <w:r>
        <w:rPr>
          <w:rFonts w:ascii="Arial" w:hAnsi="Arial"/>
          <w:b w:val="0"/>
          <w:color w:val="333333"/>
          <w:sz w:val="21"/>
        </w:rPr>
        <w:t>Lab 3 — Chatbot Webhook (Investment Advisor)</w:t>
        <w:tab/>
        <w:t>23</w:t>
      </w:r>
    </w:p>
    <w:p>
      <w:pPr>
        <w:tabs>
          <w:tab w:pos="9072" w:val="right" w:leader="dot"/>
        </w:tabs>
        <w:spacing w:after="60"/>
        <w:ind w:left="432"/>
      </w:pPr>
      <w:r>
        <w:rPr>
          <w:rFonts w:ascii="Arial" w:hAnsi="Arial"/>
          <w:b w:val="0"/>
          <w:color w:val="333333"/>
          <w:sz w:val="21"/>
        </w:rPr>
        <w:t>Lab 4 — Human in the Loop (Client Rapport Assistant)</w:t>
        <w:tab/>
        <w:t>26</w:t>
      </w:r>
    </w:p>
    <w:p>
      <w:pPr>
        <w:tabs>
          <w:tab w:pos="9072" w:val="right" w:leader="dot"/>
        </w:tabs>
        <w:spacing w:after="60"/>
      </w:pPr>
      <w:r>
        <w:rPr>
          <w:rFonts w:ascii="Arial" w:hAnsi="Arial"/>
          <w:b/>
          <w:color w:val="333333"/>
          <w:sz w:val="22"/>
        </w:rPr>
        <w:t>Topic 03 — Retrieval-Augmented Generation (RAG)</w:t>
        <w:tab/>
        <w:t>30</w:t>
      </w:r>
    </w:p>
    <w:p>
      <w:pPr>
        <w:tabs>
          <w:tab w:pos="9072" w:val="right" w:leader="dot"/>
        </w:tabs>
        <w:spacing w:after="60"/>
        <w:ind w:left="432"/>
      </w:pPr>
      <w:r>
        <w:rPr>
          <w:rFonts w:ascii="Arial" w:hAnsi="Arial"/>
          <w:b w:val="0"/>
          <w:color w:val="333333"/>
          <w:sz w:val="21"/>
        </w:rPr>
        <w:t>Lab 5 — RAG Customer Care Chatbot (Cook &amp; Bake Academy)</w:t>
        <w:tab/>
        <w:t>32</w:t>
      </w:r>
    </w:p>
    <w:p>
      <w:pPr>
        <w:tabs>
          <w:tab w:pos="9072" w:val="right" w:leader="dot"/>
        </w:tabs>
        <w:spacing w:after="60"/>
      </w:pPr>
      <w:r>
        <w:rPr>
          <w:rFonts w:ascii="Arial" w:hAnsi="Arial"/>
          <w:b/>
          <w:color w:val="333333"/>
          <w:sz w:val="22"/>
        </w:rPr>
        <w:t>Taking This Back to Work</w:t>
        <w:tab/>
        <w:t>37</w:t>
      </w:r>
    </w:p>
    <w:p>
      <w:pPr>
        <w:tabs>
          <w:tab w:pos="9072" w:val="right" w:leader="dot"/>
        </w:tabs>
        <w:spacing w:after="60"/>
      </w:pPr>
      <w:r>
        <w:rPr>
          <w:rFonts w:ascii="Arial" w:hAnsi="Arial"/>
          <w:b/>
          <w:color w:val="333333"/>
          <w:sz w:val="22"/>
        </w:rPr>
        <w:t>Assessment</w:t>
        <w:tab/>
        <w:t>37</w:t>
      </w:r>
    </w:p>
    <w:p>
      <w:pPr>
        <w:tabs>
          <w:tab w:pos="9072" w:val="right" w:leader="dot"/>
        </w:tabs>
        <w:spacing w:after="60"/>
      </w:pPr>
      <w:r>
        <w:rPr>
          <w:rFonts w:ascii="Arial" w:hAnsi="Arial"/>
          <w:b/>
          <w:color w:val="333333"/>
          <w:sz w:val="22"/>
        </w:rPr>
        <w:t>Glossary</w:t>
        <w:tab/>
        <w:t>37</w:t>
      </w:r>
    </w:p>
    <w:p>
      <w:pPr>
        <w:pageBreakBefore/>
        <w:spacing w:after="0"/>
      </w:pP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while the workflow is Active</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Topic 01 — Overview of n8n and AI Agents</w:t>
      </w:r>
    </w:p>
    <w:p>
      <w:r>
        <w:t>Why agentic AI · Workflow first · Triggers &amp; actions · LLM agents · Webhooks   (Deck reference: Slides 21–68.)</w:t>
      </w:r>
    </w:p>
    <w:p>
      <w:pPr>
        <w:pStyle w:val="Heading2"/>
      </w:pPr>
      <w:r>
        <w:t>Why Agentic AI, and Why Workflow First</w:t>
      </w:r>
    </w:p>
    <w:p>
      <w:r>
        <w:t>Deck reference: Slides 21–30.</w:t>
      </w:r>
    </w:p>
    <w:p>
      <w:r>
        <w:rPr>
          <w:b/>
          <w:color w:val="1F6FEB"/>
          <w:sz w:val="22"/>
        </w:rPr>
        <w:t>A brief history of AI, 2023–2026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Year</w:t>
            </w:r>
          </w:p>
        </w:tc>
        <w:tc>
          <w:tcPr>
            <w:tcW w:type="dxa" w:w="2880"/>
            <w:shd w:val="clear" w:color="auto" w:fill="1F6FEB"/>
          </w:tcPr>
          <w:p>
            <w:r/>
            <w:r>
              <w:rPr>
                <w:b/>
                <w:color w:val="FFFFFF"/>
                <w:sz w:val="19"/>
              </w:rPr>
              <w:t>Era</w:t>
            </w:r>
          </w:p>
        </w:tc>
        <w:tc>
          <w:tcPr>
            <w:tcW w:type="dxa" w:w="2880"/>
            <w:shd w:val="clear" w:color="auto" w:fill="1F6FEB"/>
          </w:tcPr>
          <w:p>
            <w:r/>
            <w:r>
              <w:rPr>
                <w:b/>
                <w:color w:val="FFFFFF"/>
                <w:sz w:val="19"/>
              </w:rPr>
              <w:t>What changed</w:t>
            </w:r>
          </w:p>
        </w:tc>
      </w:tr>
      <w:tr>
        <w:tc>
          <w:tcPr>
            <w:tcW w:type="dxa" w:w="2880"/>
          </w:tcPr>
          <w:p>
            <w:r/>
            <w:r>
              <w:rPr>
                <w:b/>
                <w:sz w:val="19"/>
              </w:rPr>
              <w:t>2023</w:t>
            </w:r>
          </w:p>
        </w:tc>
        <w:tc>
          <w:tcPr>
            <w:tcW w:type="dxa" w:w="2880"/>
          </w:tcPr>
          <w:p>
            <w:r/>
            <w:r>
              <w:rPr>
                <w:sz w:val="19"/>
              </w:rPr>
              <w:t>Prompt Engineering</w:t>
            </w:r>
          </w:p>
        </w:tc>
        <w:tc>
          <w:tcPr>
            <w:tcW w:type="dxa" w:w="2880"/>
          </w:tcPr>
          <w:p>
            <w:r/>
            <w:r>
              <w:rPr>
                <w:sz w:val="19"/>
              </w:rPr>
              <w:t>ChatGPT goes mainstream. Results depend on how well you word the prompt.</w:t>
            </w:r>
          </w:p>
        </w:tc>
      </w:tr>
      <w:tr>
        <w:tc>
          <w:tcPr>
            <w:tcW w:type="dxa" w:w="2880"/>
          </w:tcPr>
          <w:p>
            <w:r/>
            <w:r>
              <w:rPr>
                <w:b/>
                <w:sz w:val="19"/>
              </w:rPr>
              <w:t>2024</w:t>
            </w:r>
          </w:p>
        </w:tc>
        <w:tc>
          <w:tcPr>
            <w:tcW w:type="dxa" w:w="2880"/>
          </w:tcPr>
          <w:p>
            <w:r/>
            <w:r>
              <w:rPr>
                <w:sz w:val="19"/>
              </w:rPr>
              <w:t>Context Engineering</w:t>
            </w:r>
          </w:p>
        </w:tc>
        <w:tc>
          <w:tcPr>
            <w:tcW w:type="dxa" w:w="2880"/>
          </w:tcPr>
          <w:p>
            <w:r/>
            <w:r>
              <w:rPr>
                <w:sz w:val="19"/>
              </w:rPr>
              <w:t>Models call tools and MCP launches. Results depend on the documents, data and tools you supply.</w:t>
            </w:r>
          </w:p>
        </w:tc>
      </w:tr>
      <w:tr>
        <w:tc>
          <w:tcPr>
            <w:tcW w:type="dxa" w:w="2880"/>
          </w:tcPr>
          <w:p>
            <w:r/>
            <w:r>
              <w:rPr>
                <w:b/>
                <w:sz w:val="19"/>
              </w:rPr>
              <w:t>2025</w:t>
            </w:r>
          </w:p>
        </w:tc>
        <w:tc>
          <w:tcPr>
            <w:tcW w:type="dxa" w:w="2880"/>
          </w:tcPr>
          <w:p>
            <w:r/>
            <w:r>
              <w:rPr>
                <w:sz w:val="19"/>
              </w:rPr>
              <w:t>Harness Engineering</w:t>
            </w:r>
          </w:p>
        </w:tc>
        <w:tc>
          <w:tcPr>
            <w:tcW w:type="dxa" w:w="2880"/>
          </w:tcPr>
          <w:p>
            <w:r/>
            <w:r>
              <w:rPr>
                <w:sz w:val="19"/>
              </w:rPr>
              <w:t>Claude Code and Codex: systems built around the model that plan, act and check their own work in a loop.</w:t>
            </w:r>
          </w:p>
        </w:tc>
      </w:tr>
      <w:tr>
        <w:tc>
          <w:tcPr>
            <w:tcW w:type="dxa" w:w="2880"/>
          </w:tcPr>
          <w:p>
            <w:r/>
            <w:r>
              <w:rPr>
                <w:b/>
                <w:sz w:val="19"/>
              </w:rPr>
              <w:t>2026</w:t>
            </w:r>
          </w:p>
        </w:tc>
        <w:tc>
          <w:tcPr>
            <w:tcW w:type="dxa" w:w="2880"/>
          </w:tcPr>
          <w:p>
            <w:r/>
            <w:r>
              <w:rPr>
                <w:sz w:val="19"/>
              </w:rPr>
              <w:t>AI Agents</w:t>
            </w:r>
          </w:p>
        </w:tc>
        <w:tc>
          <w:tcPr>
            <w:tcW w:type="dxa" w:w="2880"/>
          </w:tcPr>
          <w:p>
            <w:r/>
            <w:r>
              <w:rPr>
                <w:sz w:val="19"/>
              </w:rPr>
              <w:t>Always-on agents work 24/7 — OpenClaw, Hermes Agent and agent teams take on whole jobs.</w:t>
            </w:r>
          </w:p>
        </w:tc>
      </w:tr>
    </w:tbl>
    <w:p/>
    <w:p>
      <w:r>
        <w:t>Each year moved the skill that matters: from wording one prompt, to curating the context, to engineering the harness around the model, to AI agents that work around the clock.</w:t>
      </w:r>
    </w:p>
    <w:p>
      <w:r>
        <w:rPr>
          <w:b/>
          <w:color w:val="1F6FEB"/>
          <w:sz w:val="22"/>
        </w:rPr>
        <w:t>What is agentic AI</w:t>
      </w:r>
    </w:p>
    <w:p>
      <w:r>
        <w:t>Agentic AI uses the reasoning power of a large language model to run a complex task by breaking it into simpler ones. Given a goal, the model observes the situation, chooses an action, acts on the world through a tool, observes the result, and repeats until the goal is met.</w:t>
      </w:r>
    </w:p>
    <w:p>
      <w:pPr>
        <w:jc w:val="center"/>
      </w:pPr>
      <w:r>
        <w:drawing>
          <wp:inline xmlns:a="http://schemas.openxmlformats.org/drawingml/2006/main" xmlns:pic="http://schemas.openxmlformats.org/drawingml/2006/picture">
            <wp:extent cx="5669280" cy="1833549"/>
            <wp:docPr id="3" name="Picture 3"/>
            <wp:cNvGraphicFramePr>
              <a:graphicFrameLocks noChangeAspect="1"/>
            </wp:cNvGraphicFramePr>
            <a:graphic>
              <a:graphicData uri="http://schemas.openxmlformats.org/drawingml/2006/picture">
                <pic:pic>
                  <pic:nvPicPr>
                    <pic:cNvPr id="0" name="ai-agent-llm-loop.png"/>
                    <pic:cNvPicPr/>
                  </pic:nvPicPr>
                  <pic:blipFill>
                    <a:blip r:embed="rId11"/>
                    <a:stretch>
                      <a:fillRect/>
                    </a:stretch>
                  </pic:blipFill>
                  <pic:spPr>
                    <a:xfrm>
                      <a:off x="0" y="0"/>
                      <a:ext cx="5669280" cy="1833549"/>
                    </a:xfrm>
                    <a:prstGeom prst="rect"/>
                  </pic:spPr>
                </pic:pic>
              </a:graphicData>
            </a:graphic>
          </wp:inline>
        </w:drawing>
      </w:r>
    </w:p>
    <w:p>
      <w:pPr>
        <w:jc w:val="center"/>
      </w:pPr>
      <w:r>
        <w:rPr>
          <w:i/>
          <w:color w:val="555B66"/>
          <w:sz w:val="18"/>
        </w:rPr>
        <w:t>The agent loop — goal, observation, action, observation, action. Each step is an LLM call that decides what to do next based on what came back.</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Agentic AI vs AI agents</w:t>
      </w:r>
    </w:p>
    <w:p>
      <w:r>
        <w:t>The two terms are often used loosely; in this course they mean different things. AGENTIC AI is the umbrella term for the whole system — any system in which AI pursues a goal over many steps, planning, acting through tools, checking the result and adapting. It includes the orchestration, the data, the guardrails and the human approvals, and it can be built as a workflow with AI steps or around one or more agents. An AI AGENT is one building block inside it: a single LLM given a goal, tools, memory and instructions, which decides its own next step in a loop and chooses which tool to call and when. In n8n that is the AI Agent node with its Chat Model, Memory and Tools. The best agentic systems use agents only where judgement is needed.</w:t>
      </w:r>
    </w:p>
    <w:p>
      <w:r>
        <w:rPr>
          <w:b/>
          <w:color w:val="1F6FEB"/>
          <w:sz w:val="22"/>
        </w:rPr>
        <w:t>Workflow first vs AI first</w:t>
      </w:r>
    </w:p>
    <w:p>
      <w:r>
        <w:t>There are two ways to build agentic automation. WORKFLOW FIRST is the modern form of rule-based (RPA-style) automation: you design the path, and AI is added only at the steps that need judgement. AI FIRST hands the path to an AI agent, which decides the steps and tools at run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AI First (AI Agent)</w:t>
            </w:r>
          </w:p>
        </w:tc>
      </w:tr>
      <w:tr>
        <w:tc>
          <w:tcPr>
            <w:tcW w:type="dxa" w:w="2880"/>
          </w:tcPr>
          <w:p>
            <w:r/>
            <w:r>
              <w:rPr>
                <w:b/>
                <w:sz w:val="19"/>
              </w:rPr>
              <w:t>Who decides the path</w:t>
            </w:r>
          </w:p>
        </w:tc>
        <w:tc>
          <w:tcPr>
            <w:tcW w:type="dxa" w:w="2880"/>
          </w:tcPr>
          <w:p>
            <w:r/>
            <w:r>
              <w:rPr>
                <w:sz w:val="19"/>
              </w:rPr>
              <w:t>You design the steps; AI handles individual nodes</w:t>
            </w:r>
          </w:p>
        </w:tc>
        <w:tc>
          <w:tcPr>
            <w:tcW w:type="dxa" w:w="2880"/>
          </w:tcPr>
          <w:p>
            <w:r/>
            <w:r>
              <w:rPr>
                <w:sz w:val="19"/>
              </w:rPr>
              <w:t>The agent decides the steps and tools at run time</w:t>
            </w:r>
          </w:p>
        </w:tc>
      </w:tr>
      <w:tr>
        <w:tc>
          <w:tcPr>
            <w:tcW w:type="dxa" w:w="2880"/>
          </w:tcPr>
          <w:p>
            <w:r/>
            <w:r>
              <w:rPr>
                <w:b/>
                <w:sz w:val="19"/>
              </w:rPr>
              <w:t>Behaviour</w:t>
            </w:r>
          </w:p>
        </w:tc>
        <w:tc>
          <w:tcPr>
            <w:tcW w:type="dxa" w:w="2880"/>
          </w:tcPr>
          <w:p>
            <w:r/>
            <w:r>
              <w:rPr>
                <w:sz w:val="19"/>
              </w:rPr>
              <w:t>Deterministic — same input, same path, every time</w:t>
            </w:r>
          </w:p>
        </w:tc>
        <w:tc>
          <w:tcPr>
            <w:tcW w:type="dxa" w:w="2880"/>
          </w:tcPr>
          <w:p>
            <w:r/>
            <w:r>
              <w:rPr>
                <w:sz w:val="19"/>
              </w:rPr>
              <w:t>Probabilistic — the path can change between runs</w:t>
            </w:r>
          </w:p>
        </w:tc>
      </w:tr>
      <w:tr>
        <w:tc>
          <w:tcPr>
            <w:tcW w:type="dxa" w:w="2880"/>
          </w:tcPr>
          <w:p>
            <w:r/>
            <w:r>
              <w:rPr>
                <w:b/>
                <w:sz w:val="19"/>
              </w:rPr>
              <w:t>Efficiency</w:t>
            </w:r>
          </w:p>
        </w:tc>
        <w:tc>
          <w:tcPr>
            <w:tcW w:type="dxa" w:w="2880"/>
          </w:tcPr>
          <w:p>
            <w:r/>
            <w:r>
              <w:rPr>
                <w:sz w:val="19"/>
              </w:rPr>
              <w:t>More effort to design every branch up front</w:t>
            </w:r>
          </w:p>
        </w:tc>
        <w:tc>
          <w:tcPr>
            <w:tcW w:type="dxa" w:w="2880"/>
          </w:tcPr>
          <w:p>
            <w:r/>
            <w:r>
              <w:rPr>
                <w:sz w:val="19"/>
              </w:rPr>
              <w:t>Efficient — one instruction replaces many hand-built branches</w:t>
            </w:r>
          </w:p>
        </w:tc>
      </w:tr>
      <w:tr>
        <w:tc>
          <w:tcPr>
            <w:tcW w:type="dxa" w:w="2880"/>
          </w:tcPr>
          <w:p>
            <w:r/>
            <w:r>
              <w:rPr>
                <w:b/>
                <w:sz w:val="19"/>
              </w:rPr>
              <w:t>Reliability &amp; testing</w:t>
            </w:r>
          </w:p>
        </w:tc>
        <w:tc>
          <w:tcPr>
            <w:tcW w:type="dxa" w:w="2880"/>
          </w:tcPr>
          <w:p>
            <w:r/>
            <w:r>
              <w:rPr>
                <w:sz w:val="19"/>
              </w:rPr>
              <w:t>Easy to test, debug and certify step by step</w:t>
            </w:r>
          </w:p>
        </w:tc>
        <w:tc>
          <w:tcPr>
            <w:tcW w:type="dxa" w:w="2880"/>
          </w:tcPr>
          <w:p>
            <w:r/>
            <w:r>
              <w:rPr>
                <w:sz w:val="19"/>
              </w:rPr>
              <w:t>Harder to test; edge cases surface in production</w:t>
            </w:r>
          </w:p>
        </w:tc>
      </w:tr>
      <w:tr>
        <w:tc>
          <w:tcPr>
            <w:tcW w:type="dxa" w:w="2880"/>
          </w:tcPr>
          <w:p>
            <w:r/>
            <w:r>
              <w:rPr>
                <w:b/>
                <w:sz w:val="19"/>
              </w:rPr>
              <w:t>Cost &amp; speed</w:t>
            </w:r>
          </w:p>
        </w:tc>
        <w:tc>
          <w:tcPr>
            <w:tcW w:type="dxa" w:w="2880"/>
          </w:tcPr>
          <w:p>
            <w:r/>
            <w:r>
              <w:rPr>
                <w:sz w:val="19"/>
              </w:rPr>
              <w:t>An LLM call only where needed — cheap and fast</w:t>
            </w:r>
          </w:p>
        </w:tc>
        <w:tc>
          <w:tcPr>
            <w:tcW w:type="dxa" w:w="2880"/>
          </w:tcPr>
          <w:p>
            <w:r/>
            <w:r>
              <w:rPr>
                <w:sz w:val="19"/>
              </w:rPr>
              <w:t>An LLM call at every step — more tokens, more latency</w:t>
            </w:r>
          </w:p>
        </w:tc>
      </w:tr>
      <w:tr>
        <w:tc>
          <w:tcPr>
            <w:tcW w:type="dxa" w:w="2880"/>
          </w:tcPr>
          <w:p>
            <w:r/>
            <w:r>
              <w:rPr>
                <w:b/>
                <w:sz w:val="19"/>
              </w:rPr>
              <w:t>Best for</w:t>
            </w:r>
          </w:p>
        </w:tc>
        <w:tc>
          <w:tcPr>
            <w:tcW w:type="dxa" w:w="2880"/>
          </w:tcPr>
          <w:p>
            <w:r/>
            <w:r>
              <w:rPr>
                <w:sz w:val="19"/>
              </w:rPr>
              <w:t>Repeatable, regulated, high-volume processes</w:t>
            </w:r>
          </w:p>
        </w:tc>
        <w:tc>
          <w:tcPr>
            <w:tcW w:type="dxa" w:w="2880"/>
          </w:tcPr>
          <w:p>
            <w:r/>
            <w:r>
              <w:rPr>
                <w:sz w:val="19"/>
              </w:rPr>
              <w:t>Open-ended tasks with unpredictable inputs</w:t>
            </w:r>
          </w:p>
        </w:tc>
      </w:tr>
    </w:tbl>
    <w:p/>
    <w:p>
      <w:r>
        <w:t>Workflow first is more deterministic; AI first is more efficient. Because reliability matters most in business, companies try to make as much of a process deterministic as possible. (Source: n8n, In The Loop 2026 opening keynote and product direction.)</w:t>
      </w:r>
    </w:p>
    <w:p>
      <w:r>
        <w:rPr>
          <w:b/>
          <w:color w:val="1F6FEB"/>
          <w:sz w:val="22"/>
        </w:rPr>
        <w:t>The trend: AI agents build the workflow</w:t>
      </w:r>
    </w:p>
    <w:p>
      <w:r>
        <w:t>AI-powered coding tools such as Claude Code and Codex are AI agents themselves, and they have made designing, building and changing workflows fast and cheap. The trend is therefore to use them to CREATE the workflow — describe the process in plain English, let Claude Code or Codex draft the n8n workflow, review and test it — and then let the deterministic workflow RUN the process, with AI nodes only where judgement is needed. The agent's efficiency goes into building, the workflow's determinism into running.</w:t>
      </w:r>
    </w:p>
    <w:p>
      <w:r>
        <w:rPr>
          <w:b/>
          <w:color w:val="1F6FEB"/>
          <w:sz w:val="22"/>
        </w:rPr>
        <w:t>The five principles of AI security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Controls</w:t>
            </w:r>
          </w:p>
        </w:tc>
        <w:tc>
          <w:tcPr>
            <w:tcW w:type="dxa" w:w="2880"/>
            <w:shd w:val="clear" w:color="auto" w:fill="1F6FEB"/>
          </w:tcPr>
          <w:p>
            <w:r/>
            <w:r>
              <w:rPr>
                <w:b/>
                <w:color w:val="FFFFFF"/>
                <w:sz w:val="19"/>
              </w:rPr>
              <w:t>What it means</w:t>
            </w:r>
          </w:p>
        </w:tc>
      </w:tr>
      <w:tr>
        <w:tc>
          <w:tcPr>
            <w:tcW w:type="dxa" w:w="2880"/>
          </w:tcPr>
          <w:p>
            <w:r/>
            <w:r>
              <w:rPr>
                <w:b/>
                <w:sz w:val="19"/>
              </w:rPr>
              <w:t>1. Data Control</w:t>
            </w:r>
          </w:p>
        </w:tc>
        <w:tc>
          <w:tcPr>
            <w:tcW w:type="dxa" w:w="2880"/>
          </w:tcPr>
          <w:p>
            <w:r/>
            <w:r>
              <w:rPr>
                <w:sz w:val="19"/>
              </w:rPr>
              <w:t>What AI can see</w:t>
            </w:r>
          </w:p>
        </w:tc>
        <w:tc>
          <w:tcPr>
            <w:tcW w:type="dxa" w:w="2880"/>
          </w:tcPr>
          <w:p>
            <w:r/>
            <w:r>
              <w:rPr>
                <w:sz w:val="19"/>
              </w:rPr>
              <w:t>Classify your data — public, internal, confidential — and decide exactly which data the AI may access.</w:t>
            </w:r>
          </w:p>
        </w:tc>
      </w:tr>
      <w:tr>
        <w:tc>
          <w:tcPr>
            <w:tcW w:type="dxa" w:w="2880"/>
          </w:tcPr>
          <w:p>
            <w:r/>
            <w:r>
              <w:rPr>
                <w:b/>
                <w:sz w:val="19"/>
              </w:rPr>
              <w:t>2. Permission Control</w:t>
            </w:r>
          </w:p>
        </w:tc>
        <w:tc>
          <w:tcPr>
            <w:tcW w:type="dxa" w:w="2880"/>
          </w:tcPr>
          <w:p>
            <w:r/>
            <w:r>
              <w:rPr>
                <w:sz w:val="19"/>
              </w:rPr>
              <w:t>What AI can do</w:t>
            </w:r>
          </w:p>
        </w:tc>
        <w:tc>
          <w:tcPr>
            <w:tcW w:type="dxa" w:w="2880"/>
          </w:tcPr>
          <w:p>
            <w:r/>
            <w:r>
              <w:rPr>
                <w:sz w:val="19"/>
              </w:rPr>
              <w:t>Grant only the rights needed — read, write, edit, delete. Ask before anything destructive.</w:t>
            </w:r>
          </w:p>
        </w:tc>
      </w:tr>
      <w:tr>
        <w:tc>
          <w:tcPr>
            <w:tcW w:type="dxa" w:w="2880"/>
          </w:tcPr>
          <w:p>
            <w:r/>
            <w:r>
              <w:rPr>
                <w:b/>
                <w:sz w:val="19"/>
              </w:rPr>
              <w:t>3. Human in the Loop</w:t>
            </w:r>
          </w:p>
        </w:tc>
        <w:tc>
          <w:tcPr>
            <w:tcW w:type="dxa" w:w="2880"/>
          </w:tcPr>
          <w:p>
            <w:r/>
            <w:r>
              <w:rPr>
                <w:sz w:val="19"/>
              </w:rPr>
              <w:t>Who approves</w:t>
            </w:r>
          </w:p>
        </w:tc>
        <w:tc>
          <w:tcPr>
            <w:tcW w:type="dxa" w:w="2880"/>
          </w:tcPr>
          <w:p>
            <w:r/>
            <w:r>
              <w:rPr>
                <w:sz w:val="19"/>
              </w:rPr>
              <w:t>A person reviews and approves high-impact actions — payments, deletions, customer emails.</w:t>
            </w:r>
          </w:p>
        </w:tc>
      </w:tr>
      <w:tr>
        <w:tc>
          <w:tcPr>
            <w:tcW w:type="dxa" w:w="2880"/>
          </w:tcPr>
          <w:p>
            <w:r/>
            <w:r>
              <w:rPr>
                <w:b/>
                <w:sz w:val="19"/>
              </w:rPr>
              <w:t>4. Traceability</w:t>
            </w:r>
          </w:p>
        </w:tc>
        <w:tc>
          <w:tcPr>
            <w:tcW w:type="dxa" w:w="2880"/>
          </w:tcPr>
          <w:p>
            <w:r/>
            <w:r>
              <w:rPr>
                <w:sz w:val="19"/>
              </w:rPr>
              <w:t>What happened</w:t>
            </w:r>
          </w:p>
        </w:tc>
        <w:tc>
          <w:tcPr>
            <w:tcW w:type="dxa" w:w="2880"/>
          </w:tcPr>
          <w:p>
            <w:r/>
            <w:r>
              <w:rPr>
                <w:sz w:val="19"/>
              </w:rPr>
              <w:t>Log every prompt, tool call and change so actions can be audited, explained and rolled back.</w:t>
            </w:r>
          </w:p>
        </w:tc>
      </w:tr>
      <w:tr>
        <w:tc>
          <w:tcPr>
            <w:tcW w:type="dxa" w:w="2880"/>
          </w:tcPr>
          <w:p>
            <w:r/>
            <w:r>
              <w:rPr>
                <w:b/>
                <w:sz w:val="19"/>
              </w:rPr>
              <w:t>5. Right-Sized Models</w:t>
            </w:r>
          </w:p>
        </w:tc>
        <w:tc>
          <w:tcPr>
            <w:tcW w:type="dxa" w:w="2880"/>
          </w:tcPr>
          <w:p>
            <w:r/>
            <w:r>
              <w:rPr>
                <w:sz w:val="19"/>
              </w:rPr>
              <w:t>Not the most powerful</w:t>
            </w:r>
          </w:p>
        </w:tc>
        <w:tc>
          <w:tcPr>
            <w:tcW w:type="dxa" w:w="2880"/>
          </w:tcPr>
          <w:p>
            <w:r/>
            <w:r>
              <w:rPr>
                <w:sz w:val="19"/>
              </w:rPr>
              <w:t>The smallest model that does the job carries less autonomy and less risk.</w:t>
            </w:r>
          </w:p>
        </w:tc>
      </w:tr>
    </w:tbl>
    <w:p/>
    <w:p>
      <w:r>
        <w:t>In n8n these map to scoped credentials per node, approval gates (Gmail Send and Wait for Response), the Executions log, and a small model for each AI step.</w:t>
      </w:r>
    </w:p>
    <w:p>
      <w:r>
        <w:rPr>
          <w:b/>
          <w:color w:val="1F6FEB"/>
          <w:sz w:val="22"/>
        </w:rPr>
        <w:t>Why workflow first is more secure</w:t>
      </w:r>
    </w:p>
    <w:p>
      <w:r>
        <w:t>A fixed path limits the blast radius: a manipulated AI step — for example one hit by a prompt injection — cannot reach tools that are not wired to 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AI First (AI Agent)</w:t>
            </w:r>
          </w:p>
        </w:tc>
      </w:tr>
      <w:tr>
        <w:tc>
          <w:tcPr>
            <w:tcW w:type="dxa" w:w="2880"/>
          </w:tcPr>
          <w:p>
            <w:r/>
            <w:r>
              <w:rPr>
                <w:b/>
                <w:sz w:val="19"/>
              </w:rPr>
              <w:t>Data control</w:t>
            </w:r>
          </w:p>
        </w:tc>
        <w:tc>
          <w:tcPr>
            <w:tcW w:type="dxa" w:w="2880"/>
          </w:tcPr>
          <w:p>
            <w:r/>
            <w:r>
              <w:rPr>
                <w:sz w:val="19"/>
              </w:rPr>
              <w:t>Each node sees only the fields wired into it</w:t>
            </w:r>
          </w:p>
        </w:tc>
        <w:tc>
          <w:tcPr>
            <w:tcW w:type="dxa" w:w="2880"/>
          </w:tcPr>
          <w:p>
            <w:r/>
            <w:r>
              <w:rPr>
                <w:sz w:val="19"/>
              </w:rPr>
              <w:t>The agent can reach any data its tools expose</w:t>
            </w:r>
          </w:p>
        </w:tc>
      </w:tr>
      <w:tr>
        <w:tc>
          <w:tcPr>
            <w:tcW w:type="dxa" w:w="2880"/>
          </w:tcPr>
          <w:p>
            <w:r/>
            <w:r>
              <w:rPr>
                <w:b/>
                <w:sz w:val="19"/>
              </w:rPr>
              <w:t>Permission control</w:t>
            </w:r>
          </w:p>
        </w:tc>
        <w:tc>
          <w:tcPr>
            <w:tcW w:type="dxa" w:w="2880"/>
          </w:tcPr>
          <w:p>
            <w:r/>
            <w:r>
              <w:rPr>
                <w:sz w:val="19"/>
              </w:rPr>
              <w:t>Each credential is scoped to one node and one action</w:t>
            </w:r>
          </w:p>
        </w:tc>
        <w:tc>
          <w:tcPr>
            <w:tcW w:type="dxa" w:w="2880"/>
          </w:tcPr>
          <w:p>
            <w:r/>
            <w:r>
              <w:rPr>
                <w:sz w:val="19"/>
              </w:rPr>
              <w:t>The agent holds every tool's rights at once</w:t>
            </w:r>
          </w:p>
        </w:tc>
      </w:tr>
      <w:tr>
        <w:tc>
          <w:tcPr>
            <w:tcW w:type="dxa" w:w="2880"/>
          </w:tcPr>
          <w:p>
            <w:r/>
            <w:r>
              <w:rPr>
                <w:b/>
                <w:sz w:val="19"/>
              </w:rPr>
              <w:t>Human in the loop</w:t>
            </w:r>
          </w:p>
        </w:tc>
        <w:tc>
          <w:tcPr>
            <w:tcW w:type="dxa" w:w="2880"/>
          </w:tcPr>
          <w:p>
            <w:r/>
            <w:r>
              <w:rPr>
                <w:sz w:val="19"/>
              </w:rPr>
              <w:t>The approval gate sits at a fixed, designed step</w:t>
            </w:r>
          </w:p>
        </w:tc>
        <w:tc>
          <w:tcPr>
            <w:tcW w:type="dxa" w:w="2880"/>
          </w:tcPr>
          <w:p>
            <w:r/>
            <w:r>
              <w:rPr>
                <w:sz w:val="19"/>
              </w:rPr>
              <w:t>Depends on the agent choosing to ask</w:t>
            </w:r>
          </w:p>
        </w:tc>
      </w:tr>
      <w:tr>
        <w:tc>
          <w:tcPr>
            <w:tcW w:type="dxa" w:w="2880"/>
          </w:tcPr>
          <w:p>
            <w:r/>
            <w:r>
              <w:rPr>
                <w:b/>
                <w:sz w:val="19"/>
              </w:rPr>
              <w:t>Traceability</w:t>
            </w:r>
          </w:p>
        </w:tc>
        <w:tc>
          <w:tcPr>
            <w:tcW w:type="dxa" w:w="2880"/>
          </w:tcPr>
          <w:p>
            <w:r/>
            <w:r>
              <w:rPr>
                <w:sz w:val="19"/>
              </w:rPr>
              <w:t>Every run is logged node by node in Executions</w:t>
            </w:r>
          </w:p>
        </w:tc>
        <w:tc>
          <w:tcPr>
            <w:tcW w:type="dxa" w:w="2880"/>
          </w:tcPr>
          <w:p>
            <w:r/>
            <w:r>
              <w:rPr>
                <w:sz w:val="19"/>
              </w:rPr>
              <w:t>Reasoning varies run to run and is harder to explain</w:t>
            </w:r>
          </w:p>
        </w:tc>
      </w:tr>
      <w:tr>
        <w:tc>
          <w:tcPr>
            <w:tcW w:type="dxa" w:w="2880"/>
          </w:tcPr>
          <w:p>
            <w:r/>
            <w:r>
              <w:rPr>
                <w:b/>
                <w:sz w:val="19"/>
              </w:rPr>
              <w:t>Right-sized models</w:t>
            </w:r>
          </w:p>
        </w:tc>
        <w:tc>
          <w:tcPr>
            <w:tcW w:type="dxa" w:w="2880"/>
          </w:tcPr>
          <w:p>
            <w:r/>
            <w:r>
              <w:rPr>
                <w:sz w:val="19"/>
              </w:rPr>
              <w:t>A small model for each narrow AI step</w:t>
            </w:r>
          </w:p>
        </w:tc>
        <w:tc>
          <w:tcPr>
            <w:tcW w:type="dxa" w:w="2880"/>
          </w:tcPr>
          <w:p>
            <w:r/>
            <w:r>
              <w:rPr>
                <w:sz w:val="19"/>
              </w:rPr>
              <w:t>One capable model with broad autonomy</w:t>
            </w:r>
          </w:p>
        </w:tc>
      </w:tr>
    </w:tbl>
    <w:p/>
    <w:p>
      <w:r>
        <w:rPr>
          <w:b/>
          <w:color w:val="1F6FEB"/>
          <w:sz w:val="22"/>
        </w:rPr>
        <w:t>Business value of workflow-first agentic automation</w:t>
      </w:r>
    </w:p>
    <w:p>
      <w:pPr>
        <w:pStyle w:val="ListBullet"/>
      </w:pPr>
      <w:r>
        <w:t>Reliable and predictable — the same input follows the same path every time, so the process can be tested and trusted like software.</w:t>
      </w:r>
    </w:p>
    <w:p>
      <w:pPr>
        <w:pStyle w:val="ListBullet"/>
      </w:pPr>
      <w:r>
        <w:t>Secure by design — each step holds only the data and credentials it needs, and risky actions wait at an approval gate.</w:t>
      </w:r>
    </w:p>
    <w:p>
      <w:pPr>
        <w:pStyle w:val="ListBullet"/>
      </w:pPr>
      <w:r>
        <w:t>Auditable end to end — every run is logged node by node, so any decision can be explained, replayed and corrected.</w:t>
      </w:r>
    </w:p>
    <w:p>
      <w:pPr>
        <w:pStyle w:val="ListBullet"/>
      </w:pPr>
      <w:r>
        <w:t>Lower running cost — deterministic steps cost nothing in tokens; the LLM is called only where judgement is needed.</w:t>
      </w:r>
    </w:p>
    <w:p>
      <w:pPr>
        <w:pStyle w:val="ListBullet"/>
      </w:pPr>
      <w:r>
        <w:t>Faster to build and change — Claude Code and Codex draft the workflow in minutes; your team reviews, tests and owns it.</w:t>
      </w:r>
    </w:p>
    <w:p>
      <w:pPr>
        <w:pStyle w:val="ListBullet"/>
      </w:pPr>
      <w:r>
        <w:t>Scale around the clock — triggers respond in real time, 24/7, and ten times the volume costs compute, not ten more hires.</w:t>
      </w:r>
    </w:p>
    <w:p>
      <w:r>
        <w:rPr>
          <w:b/>
          <w:color w:val="1F6FEB"/>
          <w:sz w:val="22"/>
        </w:rPr>
        <w:t>Where agentic automation is used</w:t>
      </w:r>
    </w:p>
    <w:p>
      <w:r>
        <w:t>The same pattern — trigger, agent, tools, oversight — recurs in customer service, finance and accounting, risk and compliance, HR and people operations, sales and marketing, and operations.</w:t>
      </w:r>
    </w:p>
    <w:p>
      <w:r>
        <w:rPr>
          <w:b/>
          <w:color w:val="1F6FEB"/>
          <w:sz w:val="22"/>
        </w:rPr>
        <w:t>Where agent platforms sit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Characteristics</w:t>
            </w:r>
          </w:p>
        </w:tc>
        <w:tc>
          <w:tcPr>
            <w:tcW w:type="dxa" w:w="2880"/>
            <w:shd w:val="clear" w:color="auto" w:fill="1F6FEB"/>
          </w:tcPr>
          <w:p>
            <w:r/>
            <w:r>
              <w:rPr>
                <w:b/>
                <w:color w:val="FFFFFF"/>
                <w:sz w:val="19"/>
              </w:rPr>
              <w:t>Examples</w:t>
            </w:r>
          </w:p>
        </w:tc>
      </w:tr>
      <w:tr>
        <w:tc>
          <w:tcPr>
            <w:tcW w:type="dxa" w:w="2880"/>
          </w:tcPr>
          <w:p>
            <w:r/>
            <w:r>
              <w:rPr>
                <w:b/>
                <w:sz w:val="19"/>
              </w:rPr>
              <w:t>No-code</w:t>
            </w:r>
          </w:p>
        </w:tc>
        <w:tc>
          <w:tcPr>
            <w:tcW w:type="dxa" w:w="2880"/>
          </w:tcPr>
          <w:p>
            <w:r/>
            <w:r>
              <w:rPr>
                <w:sz w:val="19"/>
              </w:rPr>
              <w:t>Fully visual; fastest to a working agent; least control</w:t>
            </w:r>
          </w:p>
        </w:tc>
        <w:tc>
          <w:tcPr>
            <w:tcW w:type="dxa" w:w="2880"/>
          </w:tcPr>
          <w:p>
            <w:r/>
            <w:r>
              <w:rPr>
                <w:sz w:val="19"/>
              </w:rPr>
              <w:t>AgentX and similar chatbot builders</w:t>
            </w:r>
          </w:p>
        </w:tc>
      </w:tr>
      <w:tr>
        <w:tc>
          <w:tcPr>
            <w:tcW w:type="dxa" w:w="2880"/>
          </w:tcPr>
          <w:p>
            <w:r/>
            <w:r>
              <w:rPr>
                <w:b/>
                <w:sz w:val="19"/>
              </w:rPr>
              <w:t>Low-code</w:t>
            </w:r>
          </w:p>
        </w:tc>
        <w:tc>
          <w:tcPr>
            <w:tcW w:type="dxa" w:w="2880"/>
          </w:tcPr>
          <w:p>
            <w:r/>
            <w:r>
              <w:rPr>
                <w:sz w:val="19"/>
              </w:rPr>
              <w:t>Visual canvas plus code nodes; 400+ integrations; self-host or cloud</w:t>
            </w:r>
          </w:p>
        </w:tc>
        <w:tc>
          <w:tcPr>
            <w:tcW w:type="dxa" w:w="2880"/>
          </w:tcPr>
          <w:p>
            <w:r/>
            <w:r>
              <w:rPr>
                <w:sz w:val="19"/>
              </w:rPr>
              <w:t>n8n — this course's platform</w:t>
            </w:r>
          </w:p>
        </w:tc>
      </w:tr>
      <w:tr>
        <w:tc>
          <w:tcPr>
            <w:tcW w:type="dxa" w:w="2880"/>
          </w:tcPr>
          <w:p>
            <w:r/>
            <w:r>
              <w:rPr>
                <w:b/>
                <w:sz w:val="19"/>
              </w:rPr>
              <w:t>Full-code</w:t>
            </w:r>
          </w:p>
        </w:tc>
        <w:tc>
          <w:tcPr>
            <w:tcW w:type="dxa" w:w="2880"/>
          </w:tcPr>
          <w:p>
            <w:r/>
            <w:r>
              <w:rPr>
                <w:sz w:val="19"/>
              </w:rPr>
              <w:t>SDKs and frameworks; maximum control; needs engineering effort</w:t>
            </w:r>
          </w:p>
        </w:tc>
        <w:tc>
          <w:tcPr>
            <w:tcW w:type="dxa" w:w="2880"/>
          </w:tcPr>
          <w:p>
            <w:r/>
            <w:r>
              <w:rPr>
                <w:sz w:val="19"/>
              </w:rPr>
              <w:t>LangChain and agent SDKs</w:t>
            </w:r>
          </w:p>
        </w:tc>
      </w:tr>
    </w:tbl>
    <w:p/>
    <w:p>
      <w:r>
        <w:rPr>
          <w:b/>
          <w:color w:val="1F6FEB"/>
          <w:sz w:val="22"/>
        </w:rPr>
        <w:t>Key concepts</w:t>
      </w:r>
    </w:p>
    <w:p>
      <w:pPr>
        <w:pStyle w:val="ListBullet"/>
      </w:pPr>
      <w:r>
        <w:rPr>
          <w:b/>
        </w:rPr>
        <w:t xml:space="preserve">What is n8n — </w:t>
      </w:r>
      <w:r>
        <w:t>n8n is a fair-code workflow automation platform.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Trigger nodes — what may start a workflow — </w:t>
      </w:r>
      <w:r>
        <w:t>The trigger you choose is a statement about who or what is allowed to start the process. Manual Trigger runs on a click, for building and for one-off jobs such as the Lab 5 ingestion. Schedule Trigger runs on a clock. Form Trigger hosts a web form for you, and is Lab 1's front door. Webhook lets an external system call a URL you expose, and is the front door for Labs 2 to 5. Chat Trigger uses n8n's built-in chat window. App and email triggers fire on a new Gmail message, a new Sheets row or a new Drive file.</w:t>
      </w:r>
    </w:p>
    <w:p>
      <w:pPr>
        <w:pStyle w:val="ListBullet"/>
      </w:pPr>
      <w:r>
        <w:rPr>
          <w:b/>
        </w:rPr>
        <w:t xml:space="preserve">Data-processing nodes — the workhorses — </w:t>
      </w:r>
      <w:r>
        <w:t>Between the trigger and the output these nodes shape, route and transform the data. Edit Fields (Set) adds, renames or reshapes fields and is the node you reach for first when data is the wrong shape. IF and Switch branch the workflow — Lab 4 uses an IF to split the approved path from the reassignment path. Filter drops non-matching items; Merge combines branches; Split Out and Aggregate convert between one item holding a list and many items. Code runs JavaScript or Python for the small fraction a built-in node cannot do. HTTP Request calls any API on the internet.</w:t>
      </w:r>
    </w:p>
    <w:p>
      <w:pPr>
        <w:pStyle w:val="ListBullet"/>
      </w:pPr>
      <w:r>
        <w:rPr>
          <w:b/>
        </w:rPr>
        <w:t xml:space="preserve">Where the data goes — </w:t>
      </w:r>
      <w:r>
        <w:t>Google Sheets is the audit log in Labs 2 and 4 — Append Row is the workhorse operation. Gmail sends a message, and in Lab 4 its Send and Wait for Response operation turns email into an approval gate. A Vector Store holds embeddings for RAG. Respond to Webhook returns data to whoever called the webhook, which is what lets a web page render the agent's answer.</w:t>
      </w:r>
    </w:p>
    <w:p>
      <w:pPr>
        <w:pStyle w:val="ListBullet"/>
      </w:pPr>
      <w:r>
        <w:rPr>
          <w:b/>
        </w:rPr>
        <w:t xml:space="preserve">The four components of an AI agent — </w:t>
      </w:r>
      <w:r>
        <w:t>Every agent in this course is exactly four parts around one hub. The MODEL is the LLM that interprets language, reasons and chooses the next step. MEMORY keeps the conversation so a follow-up question still makes sense, keyed on a session ID. TOOLS are the abilities it may use — look up a Sheets row, search a vector store, send an email, call an API. INSTRUCTIONS are the system message: identity, scope, rules and refusals, always in force on every turn. Change any one of the four and you have a different agent.</w:t>
      </w:r>
    </w:p>
    <w:p>
      <w:pPr>
        <w:pStyle w:val="ListBullet"/>
      </w:pPr>
      <w:r>
        <w:rPr>
          <w:b/>
        </w:rPr>
        <w:t xml:space="preserve">Model parameters — temperature and friends — </w:t>
      </w:r>
      <w:r>
        <w:t>Settings on the chat-model node shape HOW the model answers, and the most important is temperature. A temperature of 0 to 0.3 is deterministic and repeatable — use it for classification, compliance decisions and data extraction, that is, any automation that must give the same answer twice. Around 0.7 is balanced and natural-sounding, the usual default for a customer-facing assistant. Above 1.0 is creative and surprising, suitable for marketing copy and never for a decision you must defend. Top-p is an alternative sampling control — tune temperature or top-p, never both. Max tokens caps the reply length and so caps your cost. Lab 3 uses temperature 0.2 so a compliance-bound chatbot refuses the same way every time.</w:t>
      </w:r>
    </w:p>
    <w:p>
      <w:pPr>
        <w:pStyle w:val="ListBullet"/>
      </w:pPr>
      <w:r>
        <w:rPr>
          <w:b/>
        </w:rPr>
        <w:t xml:space="preserve">Popular LLM providers — </w:t>
      </w:r>
      <w:r>
        <w:t>Any chat model plugs into the same AI Agent node, so you can swap the brain and keep the agent. This course uses Google Gemini, which also supplies the embeddings in Lab 5. OpenAI (gpt-4.1 and the cheaper mini tier), Anthropic Claude, Meta Llama and Mistral are all commonly used. Pick by task: small fast models for classification and guardrails, larger models for reasoning.</w:t>
      </w:r>
    </w:p>
    <w:p>
      <w:pPr>
        <w:pStyle w:val="ListBullet"/>
      </w:pPr>
      <w:r>
        <w:rPr>
          <w:b/>
        </w:rPr>
        <w:t xml:space="preserve">Tools — and why the description matters — </w:t>
      </w:r>
      <w:r>
        <w:t>Tools attach to the agent's Tool input, and the model decides when to call one based on the DESCRIPTION you write. Write that description for the model, not for a developer. Lab 2 attaches three tools — check for a duplicate customer, create the customer record, send the confirmation — and you can watch the agent choose between them on the canvas.</w:t>
      </w:r>
    </w:p>
    <w:p>
      <w:pPr>
        <w:pStyle w:val="ListBullet"/>
      </w:pPr>
      <w:r>
        <w:rPr>
          <w:b/>
        </w:rPr>
        <w:t xml:space="preserve">Instructions — the four parts that constrain — </w:t>
      </w:r>
      <w:r>
        <w:t>Every good agent instruction states four things. IDENTITY: who the agent is and for whom. SOURCE RULES: where answers may come from, for example 'answer only from the brochures returned by the tool'. REFUSALS: what is out of bounds, stated explicitly. ESCALATION: what to do at the boundary, for example 'if unsure, say so and offer a consultation'. Vague instructions produce confident wrong answers — every rule you skip, the model improvises.</w:t>
      </w:r>
    </w:p>
    <w:p>
      <w:pPr>
        <w:pStyle w:val="ListBullet"/>
      </w:pPr>
      <w:r>
        <w:rPr>
          <w:b/>
        </w:rPr>
        <w:t xml:space="preserve">Good and bad instructions compared — </w:t>
      </w:r>
      <w:r>
        <w:t>A bad instruction reads 'You are a helpful assistant. Answer the user's questions politely.' It has no identity, no source rules, no refusals and no escalation, so it will invent a course fee and guarantee an investment return — politely. A good instruction names the firm, limits the topics, points at a specific tool for factual questions, lists the prohibitions, and says what to do when unsure. The test is simple: you can try to break each line of a good instruction, and you cannot even test a vague one.</w:t>
      </w:r>
    </w:p>
    <w:p>
      <w:pPr>
        <w:pStyle w:val="ListBullet"/>
      </w:pPr>
      <w:r>
        <w:rPr>
          <w:b/>
        </w:rPr>
        <w:t xml:space="preserve">MCP — the Model Context Protocol — </w:t>
      </w:r>
      <w:r>
        <w:t>MCP is an open standard that gives agents a common plug for tools and data. Without it, every agent needs a custom integration for every tool: N agents and M tools means N times M connectors to build and maintain. With MCP you build one MCP server per system and any MCP-capable agent can use it — N plus M pieces, and the tools become reusable. It is often described as USB-C for AI tools. n8n sits on both sides: the MCP Server Trigger exposes your n8n workflows AS tools that Claude or an IDE can call, and the MCP Client Tool attaches external MCP servers to your own n8n agent.</w:t>
      </w:r>
    </w:p>
    <w:p>
      <w:pPr>
        <w:pStyle w:val="ListBullet"/>
      </w:pPr>
      <w:r>
        <w:rPr>
          <w:b/>
        </w:rPr>
        <w:t xml:space="preserve">Webhooks — GET vs POST — </w:t>
      </w:r>
      <w:r>
        <w:t>The HTTP method is part of the contract with the caller. With GET the data rides in the URL query string, for example ?email=alice@corp.com, so a browser can call it just by visiting the URL; you read it in n8n as {{ $json.query.email }}. GET suits a dashboard pulling data to display. With POST the data rides in the request body as JSON, which is what a web form or a chat widget sends; you read it as {{ $json.body.message }}. Every lab website in this course POSTs. Set the method on the Webhook node, and the caller must match it exactly.</w:t>
      </w:r>
    </w:p>
    <w:p>
      <w:pPr>
        <w:pStyle w:val="ListBullet"/>
      </w:pPr>
      <w:r>
        <w:rPr>
          <w:b/>
        </w:rPr>
        <w:t xml:space="preserve">Webhook Test URL vs Production URL — </w:t>
      </w:r>
      <w:r>
        <w:t>Every Webhook node gives you two URLs, and confusing them is the single most common webhook bug. The Test URL (/webhook-test/…) works only while you have clicked 'Listen for test event', handles exactly one call and then stops, shows the run live on the canvas, and dies when you leave the editor. The Production URL (/webhook/…) requires the workflow to be Active, is always on, accepts unlimited calls, and logs its runs under Executions rather than drawing them on the canvas. Your website must call the Production URL of an Active workflow.</w:t>
      </w:r>
    </w:p>
    <w:p>
      <w:pPr>
        <w:pStyle w:val="ListBullet"/>
      </w:pPr>
      <w:r>
        <w:rPr>
          <w:b/>
        </w:rPr>
        <w:t xml:space="preserve">Configuring the Webhook node — </w:t>
      </w:r>
      <w:r>
        <w:t>Four settings decide whether a browser's call succeeds. METHOD AND PATH give you the URL. ALLOWED ORIGINS (CORS) must permit the calling page, or the workflow will run perfectly and the browser will still refuse to read the reply — the classic 'Failed to fetch'. Set it to * in class and never in production. RESPONSE MODE should be 'Using Respond to Webhook Node' in every lab here, so the agent's answer travels back instead of an immediate 200 OK. AUTHENTICATION can be None for a demo, but Basic, Header or JWT for anything real — a public URL is a public door, and every call costs you model tokens.</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61–64.</w:t>
      </w:r>
    </w:p>
    <w:p>
      <w:r>
        <w:rPr>
          <w:b/>
          <w:color w:val="1F6FEB"/>
          <w:sz w:val="22"/>
        </w:rPr>
        <w:t>Goal</w:t>
      </w:r>
    </w:p>
    <w:p>
      <w:r>
        <w:t>Build your first n8n workflow end to end. An n8n Form Trigger collects a visitor's details, and a Gmail action emails them to the event administrator. You then turn the form's public URL into a QR code and place it on an event flyer, so anyone can sign up by scanning it with a phone.</w:t>
      </w:r>
    </w:p>
    <w:p>
      <w:r>
        <w:rPr>
          <w:b/>
          <w:color w:val="1F6FEB"/>
          <w:sz w:val="22"/>
        </w:rPr>
        <w:t>What you'll build</w:t>
      </w:r>
    </w:p>
    <w:p>
      <w:r>
        <w:t>Form Trigger  →  Gmail (Send a message)   (Tools: n8n Form Trigger, Gmail (OAuth2), Smart QR Code Generator.)</w:t>
      </w:r>
    </w:p>
    <w:p>
      <w:pPr>
        <w:jc w:val="center"/>
      </w:pPr>
      <w:r>
        <w:drawing>
          <wp:inline xmlns:a="http://schemas.openxmlformats.org/drawingml/2006/main" xmlns:pic="http://schemas.openxmlformats.org/drawingml/2006/picture">
            <wp:extent cx="5669280" cy="2381098"/>
            <wp:docPr id="4" name="Picture 4"/>
            <wp:cNvGraphicFramePr>
              <a:graphicFrameLocks noChangeAspect="1"/>
            </wp:cNvGraphicFramePr>
            <a:graphic>
              <a:graphicData uri="http://schemas.openxmlformats.org/drawingml/2006/picture">
                <pic:pic>
                  <pic:nvPicPr>
                    <pic:cNvPr id="0" name="site-lab1.png"/>
                    <pic:cNvPicPr/>
                  </pic:nvPicPr>
                  <pic:blipFill>
                    <a:blip r:embed="rId12"/>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pPr>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site-lab1-flyer.png"/>
                    <pic:cNvPicPr/>
                  </pic:nvPicPr>
                  <pic:blipFill>
                    <a:blip r:embed="rId13"/>
                    <a:stretch>
                      <a:fillRect/>
                    </a:stretch>
                  </pic:blipFill>
                  <pic:spPr>
                    <a:xfrm>
                      <a:off x="0" y="0"/>
                      <a:ext cx="5669280" cy="3188970"/>
                    </a:xfrm>
                    <a:prstGeom prst="rect"/>
                  </pic:spPr>
                </pic:pic>
              </a:graphicData>
            </a:graphic>
          </wp:inline>
        </w:drawing>
      </w:r>
    </w:p>
    <w:p>
      <w:pPr>
        <w:jc w:val="center"/>
      </w:pPr>
      <w:r>
        <w:rPr>
          <w:i/>
          <w:color w:val="555B66"/>
          <w:sz w:val="18"/>
        </w:rPr>
        <w:t>A sample event flyer from a previous class. The QR code encodes the form's Production URL, so anyone can sign up by scanning it with a phone.</w:t>
      </w:r>
    </w:p>
    <w:p>
      <w:r>
        <w:rPr>
          <w:b/>
          <w:color w:val="1F6FEB"/>
          <w:sz w:val="22"/>
        </w:rPr>
        <w:t>The workflow on the n8n canvas</w:t>
      </w:r>
    </w:p>
    <w:p>
      <w:pPr>
        <w:jc w:val="center"/>
      </w:pPr>
      <w:r>
        <w:drawing>
          <wp:inline xmlns:a="http://schemas.openxmlformats.org/drawingml/2006/main" xmlns:pic="http://schemas.openxmlformats.org/drawingml/2006/picture">
            <wp:extent cx="5669280" cy="2598791"/>
            <wp:docPr id="6" name="Picture 6"/>
            <wp:cNvGraphicFramePr>
              <a:graphicFrameLocks noChangeAspect="1"/>
            </wp:cNvGraphicFramePr>
            <a:graphic>
              <a:graphicData uri="http://schemas.openxmlformats.org/drawingml/2006/picture">
                <pic:pic>
                  <pic:nvPicPr>
                    <pic:cNvPr id="0" name="canvas-lab1.png"/>
                    <pic:cNvPicPr/>
                  </pic:nvPicPr>
                  <pic:blipFill>
                    <a:blip r:embed="rId14"/>
                    <a:stretch>
                      <a:fillRect/>
                    </a:stretch>
                  </pic:blipFill>
                  <pic:spPr>
                    <a:xfrm>
                      <a:off x="0" y="0"/>
                      <a:ext cx="5669280" cy="2598791"/>
                    </a:xfrm>
                    <a:prstGeom prst="rect"/>
                  </pic:spPr>
                </pic:pic>
              </a:graphicData>
            </a:graphic>
          </wp:inline>
        </w:drawing>
      </w:r>
    </w:p>
    <w:p>
      <w:pPr>
        <w:jc w:val="center"/>
      </w:pPr>
      <w:r>
        <w:rPr>
          <w:i/>
          <w:color w:val="555B66"/>
          <w:sz w:val="18"/>
        </w:rPr>
        <w:t>The Lab 1 workflow on the n8n canvas. Two nodes: the Form Trigger decides WHEN the workflow runs, and the Gmail node decides WHAT it does.</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Save the workflow and toggle it Active, then copy the Form's Production URL.</w:t>
      </w:r>
    </w:p>
    <w:p>
      <w:pPr>
        <w:ind w:left="720"/>
      </w:pPr>
      <w:r>
        <w:rPr>
          <w:b/>
          <w:i/>
          <w:color w:val="B4760B"/>
          <w:sz w:val="19"/>
        </w:rPr>
        <w:t xml:space="preserve">Why this step: </w:t>
      </w:r>
      <w:r>
        <w:rPr>
          <w:i/>
          <w:color w:val="555B66"/>
          <w:sz w:val="19"/>
        </w:rPr>
        <w:t>The Test URL answers exactly one request. Only the Production URL, with the workflow Active, works for everyone.</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Group activity: design an event flyer (for example a bowling night or a networking evening) with the QR code on it, then present it to the class.</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labs/lab1-trigger-actions/lab-trigger-actions.json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Active.</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65–67.</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2480310"/>
            <wp:docPr id="7" name="Picture 7"/>
            <wp:cNvGraphicFramePr>
              <a:graphicFrameLocks noChangeAspect="1"/>
            </wp:cNvGraphicFramePr>
            <a:graphic>
              <a:graphicData uri="http://schemas.openxmlformats.org/drawingml/2006/picture">
                <pic:pic>
                  <pic:nvPicPr>
                    <pic:cNvPr id="0" name="site-lab2.png"/>
                    <pic:cNvPicPr/>
                  </pic:nvPicPr>
                  <pic:blipFill>
                    <a:blip r:embed="rId15"/>
                    <a:stretch>
                      <a:fillRect/>
                    </a:stretch>
                  </pic:blipFill>
                  <pic:spPr>
                    <a:xfrm>
                      <a:off x="0" y="0"/>
                      <a:ext cx="5669280" cy="248031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r>
        <w:rPr>
          <w:b/>
          <w:color w:val="1F6FEB"/>
          <w:sz w:val="22"/>
        </w:rPr>
        <w:t>The workflow on the n8n canvas</w:t>
      </w:r>
    </w:p>
    <w:p>
      <w:pPr>
        <w:jc w:val="center"/>
      </w:pPr>
      <w:r>
        <w:drawing>
          <wp:inline xmlns:a="http://schemas.openxmlformats.org/drawingml/2006/main" xmlns:pic="http://schemas.openxmlformats.org/drawingml/2006/picture">
            <wp:extent cx="5669280" cy="1738361"/>
            <wp:docPr id="8" name="Picture 8"/>
            <wp:cNvGraphicFramePr>
              <a:graphicFrameLocks noChangeAspect="1"/>
            </wp:cNvGraphicFramePr>
            <a:graphic>
              <a:graphicData uri="http://schemas.openxmlformats.org/drawingml/2006/picture">
                <pic:pic>
                  <pic:nvPicPr>
                    <pic:cNvPr id="0" name="canvas-lab2.png"/>
                    <pic:cNvPicPr/>
                  </pic:nvPicPr>
                  <pic:blipFill>
                    <a:blip r:embed="rId16"/>
                    <a:stretch>
                      <a:fillRect/>
                    </a:stretch>
                  </pic:blipFill>
                  <pic:spPr>
                    <a:xfrm>
                      <a:off x="0" y="0"/>
                      <a:ext cx="5669280" cy="1738361"/>
                    </a:xfrm>
                    <a:prstGeom prst="rect"/>
                  </pic:spPr>
                </pic:pic>
              </a:graphicData>
            </a:graphic>
          </wp:inline>
        </w:drawing>
      </w:r>
    </w:p>
    <w:p>
      <w:pPr>
        <w:jc w:val="center"/>
      </w:pPr>
      <w:r>
        <w:rPr>
          <w:i/>
          <w:color w:val="555B66"/>
          <w:sz w:val="18"/>
        </w:rPr>
        <w:t>The Lab 2 workflow on the n8n canvas. The main chain runs left to right; the chat model, output parser and three tools hang below the agent on its Tool input.</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lab2-webhook-agent.json.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toggle the workflow Active, copy the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Active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69–80.)</w:t>
      </w:r>
    </w:p>
    <w:p>
      <w:r>
        <w:rPr>
          <w:b/>
          <w:color w:val="1F6FEB"/>
          <w:sz w:val="22"/>
        </w:rPr>
        <w:t>Key concepts</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Human in, on, and out of the loop — </w:t>
      </w:r>
      <w:r>
        <w:t>There are three levels of human oversight, and the design question is which one a given process deserves. Human IN the loop means the workflow pauses and a named person must approve before the action happens — nothing reaches the customer unauthorised, which is Lab 4. Human ON the loop means the agent acts immediately while a person monitors and can intervene or reverse it, which suits high volume with low individual risk. Human OUT of the loop is fully autonomous, and is acceptable only where an error is cheap, reversible and detectable — never where money or a regulator is involved.</w:t>
      </w:r>
    </w:p>
    <w:p>
      <w:pPr>
        <w:pStyle w:val="ListBullet"/>
      </w:pPr>
      <w:r>
        <w:rPr>
          <w:b/>
        </w:rPr>
        <w:t xml:space="preserve">How an approval suspends a running workflow — </w:t>
      </w:r>
      <w:r>
        <w:t>A Send-and-Wait node stops the execution mid-flight. Look at the canvas and the run is genuinely sitting on the approval node; n8n holds the state, and it will wait for days if it has to. The Approve and Decline buttons in the email are simply two URLs, so clicking one resumes the execution down that branch and the approver has no new application to learn. A decline is a reassignment rather than a deletion, because someone still owes the client an answer.</w:t>
      </w:r>
    </w:p>
    <w:p>
      <w:pPr>
        <w:pStyle w:val="ListBullet"/>
      </w:pPr>
      <w:r>
        <w:rPr>
          <w:b/>
        </w:rPr>
        <w:t xml:space="preserve">Guardrails — two gates around the agent — </w:t>
      </w:r>
      <w:r>
        <w:t>Instructions shape what the agent intends; guardrails check what actually goes in and comes out. An INPUT guardrail screens the incoming message before the model ever sees it: block prompt injection such as 'ignore your instructions and…', strip personal data you must not process, and rate-limit and authenticate, because a public webhook is a public door. An OUTPUT guardrail checks the reply before it reaches a person: look for phrases you have banned such as guarantees and forecasts, validate the structured fields against the values you allow, and on any doubt route to a human rather than sending. Enforcing the same rule in the prompt AND in the workflow is deliberate redundancy — only one of the two runs on a machine you control.</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74–76.</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compact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site-lab3.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r>
        <w:rPr>
          <w:b/>
          <w:color w:val="1F6FEB"/>
          <w:sz w:val="22"/>
        </w:rPr>
        <w:t>The workflow on the n8n canvas</w:t>
      </w:r>
    </w:p>
    <w:p>
      <w:pPr>
        <w:jc w:val="center"/>
      </w:pPr>
      <w:r>
        <w:drawing>
          <wp:inline xmlns:a="http://schemas.openxmlformats.org/drawingml/2006/main" xmlns:pic="http://schemas.openxmlformats.org/drawingml/2006/picture">
            <wp:extent cx="5669280" cy="1984818"/>
            <wp:docPr id="10" name="Picture 10"/>
            <wp:cNvGraphicFramePr>
              <a:graphicFrameLocks noChangeAspect="1"/>
            </wp:cNvGraphicFramePr>
            <a:graphic>
              <a:graphicData uri="http://schemas.openxmlformats.org/drawingml/2006/picture">
                <pic:pic>
                  <pic:nvPicPr>
                    <pic:cNvPr id="0" name="canvas-lab3.png"/>
                    <pic:cNvPicPr/>
                  </pic:nvPicPr>
                  <pic:blipFill>
                    <a:blip r:embed="rId18"/>
                    <a:stretch>
                      <a:fillRect/>
                    </a:stretch>
                  </pic:blipFill>
                  <pic:spPr>
                    <a:xfrm>
                      <a:off x="0" y="0"/>
                      <a:ext cx="5669280" cy="1984818"/>
                    </a:xfrm>
                    <a:prstGeom prst="rect"/>
                  </pic:spPr>
                </pic:pic>
              </a:graphicData>
            </a:graphic>
          </wp:inline>
        </w:drawing>
      </w:r>
    </w:p>
    <w:p>
      <w:pPr>
        <w:jc w:val="center"/>
      </w:pPr>
      <w:r>
        <w:rPr>
          <w:i/>
          <w:color w:val="555B66"/>
          <w:sz w:val="18"/>
        </w:rPr>
        <w:t>The Lab 3 workflow on the n8n canvas. A small graph: webhook in, normalise, the agent with its chat model and session memory, then the reply back out.</w:t>
      </w:r>
    </w:p>
    <w:p>
      <w:r>
        <w:rPr>
          <w:b/>
          <w:color w:val="1F6FEB"/>
          <w:sz w:val="22"/>
        </w:rPr>
        <w:t>Step-by-step</w:t>
      </w:r>
    </w:p>
    <w:p>
      <w:pPr>
        <w:pStyle w:val="ListNumber"/>
      </w:pPr>
      <w:r>
        <w:t>Choose Workflows → Import from File and select lab3-chatbot-webhooks.json.</w:t>
      </w:r>
    </w:p>
    <w:p>
      <w:pPr>
        <w:ind w:left="720"/>
      </w:pPr>
      <w:r>
        <w:rPr>
          <w:b/>
          <w:i/>
          <w:color w:val="B4760B"/>
          <w:sz w:val="19"/>
        </w:rPr>
        <w:t xml:space="preserve">Why this step: </w:t>
      </w:r>
      <w:r>
        <w:rPr>
          <w:i/>
          <w:color w:val="555B66"/>
          <w:sz w:val="19"/>
        </w:rPr>
        <w:t>A small canvas. The intelligence is in the system message, not in the number of nodes.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Active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77–79.</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271647"/>
            <wp:docPr id="11" name="Picture 11"/>
            <wp:cNvGraphicFramePr>
              <a:graphicFrameLocks noChangeAspect="1"/>
            </wp:cNvGraphicFramePr>
            <a:graphic>
              <a:graphicData uri="http://schemas.openxmlformats.org/drawingml/2006/picture">
                <pic:pic>
                  <pic:nvPicPr>
                    <pic:cNvPr id="0" name="site-lab4.png"/>
                    <pic:cNvPicPr/>
                  </pic:nvPicPr>
                  <pic:blipFill>
                    <a:blip r:embed="rId19"/>
                    <a:stretch>
                      <a:fillRect/>
                    </a:stretch>
                  </pic:blipFill>
                  <pic:spPr>
                    <a:xfrm>
                      <a:off x="0" y="0"/>
                      <a:ext cx="5669280" cy="3271647"/>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r>
        <w:rPr>
          <w:b/>
          <w:color w:val="1F6FEB"/>
          <w:sz w:val="22"/>
        </w:rPr>
        <w:t>The workflow on the n8n canvas</w:t>
      </w:r>
    </w:p>
    <w:p>
      <w:pPr>
        <w:jc w:val="center"/>
      </w:pPr>
      <w:r>
        <w:drawing>
          <wp:inline xmlns:a="http://schemas.openxmlformats.org/drawingml/2006/main" xmlns:pic="http://schemas.openxmlformats.org/drawingml/2006/picture">
            <wp:extent cx="5669280" cy="1751834"/>
            <wp:docPr id="12" name="Picture 12"/>
            <wp:cNvGraphicFramePr>
              <a:graphicFrameLocks noChangeAspect="1"/>
            </wp:cNvGraphicFramePr>
            <a:graphic>
              <a:graphicData uri="http://schemas.openxmlformats.org/drawingml/2006/picture">
                <pic:pic>
                  <pic:nvPicPr>
                    <pic:cNvPr id="0" name="canvas-lab4.png"/>
                    <pic:cNvPicPr/>
                  </pic:nvPicPr>
                  <pic:blipFill>
                    <a:blip r:embed="rId20"/>
                    <a:stretch>
                      <a:fillRect/>
                    </a:stretch>
                  </pic:blipFill>
                  <pic:spPr>
                    <a:xfrm>
                      <a:off x="0" y="0"/>
                      <a:ext cx="5669280" cy="1751834"/>
                    </a:xfrm>
                    <a:prstGeom prst="rect"/>
                  </pic:spPr>
                </pic:pic>
              </a:graphicData>
            </a:graphic>
          </wp:inline>
        </w:drawing>
      </w:r>
    </w:p>
    <w:p>
      <w:pPr>
        <w:jc w:val="center"/>
      </w:pPr>
      <w:r>
        <w:rPr>
          <w:i/>
          <w:color w:val="555B66"/>
          <w:sz w:val="18"/>
        </w:rPr>
        <w:t>Everything up to RM Approval is the agent's territory; the IF node after it splits into the approved path (top) and the reassignment path (bottom).</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lab4-human-in-the-loop.json.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81–93.)</w:t>
      </w:r>
    </w:p>
    <w:p>
      <w:r>
        <w:rPr>
          <w:b/>
          <w:color w:val="1F6FEB"/>
          <w:sz w:val="22"/>
        </w:rPr>
        <w:t>Key concepts</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13" name="Picture 13"/>
            <wp:cNvGraphicFramePr>
              <a:graphicFrameLocks noChangeAspect="1"/>
            </wp:cNvGraphicFramePr>
            <a:graphic>
              <a:graphicData uri="http://schemas.openxmlformats.org/drawingml/2006/picture">
                <pic:pic>
                  <pic:nvPicPr>
                    <pic:cNvPr id="0" name="rag-concept.png"/>
                    <pic:cNvPicPr/>
                  </pic:nvPicPr>
                  <pic:blipFill>
                    <a:blip r:embed="rId21"/>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14" name="Picture 14"/>
            <wp:cNvGraphicFramePr>
              <a:graphicFrameLocks noChangeAspect="1"/>
            </wp:cNvGraphicFramePr>
            <a:graphic>
              <a:graphicData uri="http://schemas.openxmlformats.org/drawingml/2006/picture">
                <pic:pic>
                  <pic:nvPicPr>
                    <pic:cNvPr id="0" name="text-embedding.png"/>
                    <pic:cNvPicPr/>
                  </pic:nvPicPr>
                  <pic:blipFill>
                    <a:blip r:embed="rId22"/>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15" name="Picture 15"/>
            <wp:cNvGraphicFramePr>
              <a:graphicFrameLocks noChangeAspect="1"/>
            </wp:cNvGraphicFramePr>
            <a:graphic>
              <a:graphicData uri="http://schemas.openxmlformats.org/drawingml/2006/picture">
                <pic:pic>
                  <pic:nvPicPr>
                    <pic:cNvPr id="0" name="vector-database.png"/>
                    <pic:cNvPicPr/>
                  </pic:nvPicPr>
                  <pic:blipFill>
                    <a:blip r:embed="rId23"/>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90–93.</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site-lab5.png"/>
                    <pic:cNvPicPr/>
                  </pic:nvPicPr>
                  <pic:blipFill>
                    <a:blip r:embed="rId24"/>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r>
        <w:rPr>
          <w:b/>
          <w:color w:val="1F6FEB"/>
          <w:sz w:val="22"/>
        </w:rPr>
        <w:t>The workflow on the n8n canvas</w:t>
      </w:r>
    </w:p>
    <w:p>
      <w:pPr>
        <w:jc w:val="center"/>
      </w:pPr>
      <w:r>
        <w:drawing>
          <wp:inline xmlns:a="http://schemas.openxmlformats.org/drawingml/2006/main" xmlns:pic="http://schemas.openxmlformats.org/drawingml/2006/picture">
            <wp:extent cx="5669280" cy="1978033"/>
            <wp:docPr id="17" name="Picture 17"/>
            <wp:cNvGraphicFramePr>
              <a:graphicFrameLocks noChangeAspect="1"/>
            </wp:cNvGraphicFramePr>
            <a:graphic>
              <a:graphicData uri="http://schemas.openxmlformats.org/drawingml/2006/picture">
                <pic:pic>
                  <pic:nvPicPr>
                    <pic:cNvPr id="0" name="canvas-lab5-ingest.png"/>
                    <pic:cNvPicPr/>
                  </pic:nvPicPr>
                  <pic:blipFill>
                    <a:blip r:embed="rId25"/>
                    <a:stretch>
                      <a:fillRect/>
                    </a:stretch>
                  </pic:blipFill>
                  <pic:spPr>
                    <a:xfrm>
                      <a:off x="0" y="0"/>
                      <a:ext cx="5669280" cy="1978033"/>
                    </a:xfrm>
                    <a:prstGeom prst="rect"/>
                  </pic:spPr>
                </pic:pic>
              </a:graphicData>
            </a:graphic>
          </wp:inline>
        </w:drawing>
      </w:r>
    </w:p>
    <w:p>
      <w:pPr>
        <w:jc w:val="center"/>
      </w:pPr>
      <w:r>
        <w:rPr>
          <w:i/>
          <w:color w:val="555B66"/>
          <w:sz w:val="18"/>
        </w:rPr>
        <w:t>The ingestion workflow on the n8n canvas — run ONCE by hand. Twenty brochures are listed, downloaded, split, embedded and inserted into the vector store.</w:t>
      </w:r>
    </w:p>
    <w:p>
      <w:pPr>
        <w:jc w:val="center"/>
      </w:pPr>
      <w:r>
        <w:drawing>
          <wp:inline xmlns:a="http://schemas.openxmlformats.org/drawingml/2006/main" xmlns:pic="http://schemas.openxmlformats.org/drawingml/2006/picture">
            <wp:extent cx="5669280" cy="2134729"/>
            <wp:docPr id="18" name="Picture 18"/>
            <wp:cNvGraphicFramePr>
              <a:graphicFrameLocks noChangeAspect="1"/>
            </wp:cNvGraphicFramePr>
            <a:graphic>
              <a:graphicData uri="http://schemas.openxmlformats.org/drawingml/2006/picture">
                <pic:pic>
                  <pic:nvPicPr>
                    <pic:cNvPr id="0" name="canvas-lab5-agent.png"/>
                    <pic:cNvPicPr/>
                  </pic:nvPicPr>
                  <pic:blipFill>
                    <a:blip r:embed="rId26"/>
                    <a:stretch>
                      <a:fillRect/>
                    </a:stretch>
                  </pic:blipFill>
                  <pic:spPr>
                    <a:xfrm>
                      <a:off x="0" y="0"/>
                      <a:ext cx="5669280" cy="2134729"/>
                    </a:xfrm>
                    <a:prstGeom prst="rect"/>
                  </pic:spPr>
                </pic:pic>
              </a:graphicData>
            </a:graphic>
          </wp:inline>
        </w:drawing>
      </w:r>
    </w:p>
    <w:p>
      <w:pPr>
        <w:jc w:val="center"/>
      </w:pPr>
      <w:r>
        <w:rPr>
          <w:i/>
          <w:color w:val="555B66"/>
          <w:sz w:val="18"/>
        </w:rPr>
        <w:t>The answering workflow on the n8n canvas — runs on EVERY question. The Query Data Tool and its embedding model hang below the agent.</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lab5-Ingest-Simple-Vector-Store.json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LU5-rag-chatbot.json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2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