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2-day (14-hour) lesson plan for Agentic AI for Business Process Automation, aligned to the 5 hands-on labs and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Day 2 rescheduled so the final assessment follows instruction within the training day; daily timing now driven from a single source shared with the slide deck; assessment time stated separately from instructional time.</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(visual concept cards, chevron flow strips, comparison panels and takeaway bands). Lab step slides removed from the deck; the click-by-click steps now live only in the Learner Guide, and each lab carries a rendered screenshot of its own n8n canvas. Concept coverage expanded: trigger nodes, data-processing nodes, the four components of an AI agent, instruction design, model parameters,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AI first, the trend of using Claude Code and Codex to build workflows, the five principles of AI security and why workflow first is more secure, and the business value of workflow-first agentic automation. Slide references updated to match.</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ind w:left="432"/>
      </w:pPr>
      <w:r>
        <w:rPr>
          <w:rFonts w:ascii="Arial" w:hAnsi="Arial"/>
          <w:b w:val="0"/>
          <w:color w:val="333333"/>
          <w:sz w:val="21"/>
        </w:rPr>
        <w:t>Day 1 — n8n, AI Agents and Agentic Chatbots</w:t>
        <w:tab/>
        <w:t>6</w:t>
      </w:r>
    </w:p>
    <w:p>
      <w:pPr>
        <w:tabs>
          <w:tab w:pos="9072" w:val="right" w:leader="dot"/>
        </w:tabs>
        <w:spacing w:after="60"/>
        <w:ind w:left="432"/>
      </w:pPr>
      <w:r>
        <w:rPr>
          <w:rFonts w:ascii="Arial" w:hAnsi="Arial"/>
          <w:b w:val="0"/>
          <w:color w:val="333333"/>
          <w:sz w:val="21"/>
        </w:rPr>
        <w:t>Day 2 — Human in the Loop, RAG and Assessment</w:t>
        <w:tab/>
        <w:t>7</w:t>
      </w:r>
    </w:p>
    <w:p>
      <w:pPr>
        <w:tabs>
          <w:tab w:pos="9072" w:val="right" w:leader="dot"/>
        </w:tabs>
        <w:spacing w:after="60"/>
      </w:pPr>
      <w:r>
        <w:rPr>
          <w:rFonts w:ascii="Arial" w:hAnsi="Arial"/>
          <w:b/>
          <w:color w:val="333333"/>
          <w:sz w:val="22"/>
        </w:rPr>
        <w:t>Lab Reference (aligned to topics and learning outcomes)</w:t>
        <w:tab/>
        <w:t>8</w:t>
      </w:r>
    </w:p>
    <w:p>
      <w:pPr>
        <w:pageBreakBefore/>
        <w:spacing w:after="0"/>
      </w:pP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Agentic AI for Business Process Automation</w:t>
            </w:r>
          </w:p>
        </w:tc>
      </w:tr>
      <w:tr>
        <w:tc>
          <w:tcPr>
            <w:tcW w:type="dxa" w:w="4320"/>
            <w:shd w:val="clear" w:color="auto" w:fill="E8F0FE"/>
          </w:tcPr>
          <w:p>
            <w:r/>
            <w:r>
              <w:rPr>
                <w:b/>
                <w:sz w:val="20"/>
              </w:rPr>
              <w:t>WSQ Course Reference</w:t>
            </w:r>
          </w:p>
        </w:tc>
        <w:tc>
          <w:tcPr>
            <w:tcW w:type="dxa" w:w="4320"/>
          </w:tcPr>
          <w:p>
            <w:r/>
            <w:r>
              <w:rPr>
                <w:sz w:val="20"/>
              </w:rPr>
              <w:t>TGS-2024045801</w:t>
            </w:r>
          </w:p>
        </w:tc>
      </w:tr>
      <w:tr>
        <w:tc>
          <w:tcPr>
            <w:tcW w:type="dxa" w:w="4320"/>
            <w:shd w:val="clear" w:color="auto" w:fill="E8F0FE"/>
          </w:tcPr>
          <w:p>
            <w:r/>
            <w:r>
              <w:rPr>
                <w:b/>
                <w:sz w:val="20"/>
              </w:rPr>
              <w:t>TSC Title / Code</w:t>
            </w:r>
          </w:p>
        </w:tc>
        <w:tc>
          <w:tcPr>
            <w:tcW w:type="dxa" w:w="4320"/>
          </w:tcPr>
          <w:p>
            <w:r/>
            <w:r>
              <w:rPr>
                <w:sz w:val="20"/>
              </w:rPr>
              <w:t>Artificial Intelligence Application  ·  AER-TEM-3026-1.1</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2 days · 8 training hours per day (16 hours)</w:t>
            </w:r>
          </w:p>
        </w:tc>
      </w:tr>
      <w:tr>
        <w:tc>
          <w:tcPr>
            <w:tcW w:type="dxa" w:w="4320"/>
            <w:shd w:val="clear" w:color="auto" w:fill="E8F0FE"/>
          </w:tcPr>
          <w:p>
            <w:r/>
            <w:r>
              <w:rPr>
                <w:b/>
                <w:sz w:val="20"/>
              </w:rPr>
              <w:t>Daily Timing</w:t>
            </w:r>
          </w:p>
        </w:tc>
        <w:tc>
          <w:tcPr>
            <w:tcW w:type="dxa" w:w="4320"/>
          </w:tcPr>
          <w:p>
            <w:r/>
            <w:r>
              <w:rPr>
                <w:sz w:val="20"/>
              </w:rPr>
              <w:t>Day 1: 9:30 am – 6:30 pm.  Day 2: 9:30 am – 6:30 pm instruction, assessment to 8:45 pm.  Each day is 8 instructional hours: a 1-hour lunch is excluded, and the two 15-minute tea breaks are counted within the instructional time.</w:t>
            </w:r>
          </w:p>
        </w:tc>
      </w:tr>
      <w:tr>
        <w:tc>
          <w:tcPr>
            <w:tcW w:type="dxa" w:w="4320"/>
            <w:shd w:val="clear" w:color="auto" w:fill="E8F0FE"/>
          </w:tcPr>
          <w:p>
            <w:r/>
            <w:r>
              <w:rPr>
                <w:b/>
                <w:sz w:val="20"/>
              </w:rPr>
              <w:t>Mode</w:t>
            </w:r>
          </w:p>
        </w:tc>
        <w:tc>
          <w:tcPr>
            <w:tcW w:type="dxa" w:w="4320"/>
          </w:tcPr>
          <w:p>
            <w:r/>
            <w:r>
              <w:rPr>
                <w:sz w:val="20"/>
              </w:rPr>
              <w:t>Instructor-led, hands-on workflow-automation labs built in n8n</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Explain what n8n and AI agents are, and build automated workflows using triggers and actions.</w:t>
      </w:r>
    </w:p>
    <w:p>
      <w:pPr>
        <w:pStyle w:val="ListBullet"/>
      </w:pPr>
      <w:r>
        <w:rPr>
          <w:sz w:val="21"/>
        </w:rPr>
        <w:t>LO2: Implement AI agent applications that are triggered by webhooks and integrated with business systems.</w:t>
      </w:r>
    </w:p>
    <w:p>
      <w:pPr>
        <w:pStyle w:val="ListBullet"/>
      </w:pPr>
      <w:r>
        <w:rPr>
          <w:sz w:val="21"/>
        </w:rPr>
        <w:t>LO3: Design agentic chatbot workflows that operate safely within business and regulatory constraints.</w:t>
      </w:r>
    </w:p>
    <w:p>
      <w:pPr>
        <w:pStyle w:val="ListBullet"/>
      </w:pPr>
      <w:r>
        <w:rPr>
          <w:sz w:val="21"/>
        </w:rPr>
        <w:t>LO4: Apply human-in-the-loop approval so that sensitive actions are authorised by a person.</w:t>
      </w:r>
    </w:p>
    <w:p>
      <w:pPr>
        <w:pStyle w:val="ListBullet"/>
      </w:pPr>
      <w:r>
        <w:rPr>
          <w:sz w:val="21"/>
        </w:rPr>
        <w:t>LO5: Deploy Retrieval-Augmented Generation (RAG) to ground an agent in an organisation's own documents.</w:t>
      </w:r>
    </w:p>
    <w:p>
      <w:pPr>
        <w:pStyle w:val="Heading1"/>
      </w:pPr>
      <w:r>
        <w:t>Skills Framework Alignment</w:t>
      </w:r>
    </w:p>
    <w:p>
      <w:r>
        <w:t>This course is mapped to the TSC Artificial Intelligence Application (AER-TEM-3026-1.1).</w:t>
      </w:r>
    </w:p>
    <w:tbl>
      <w:tblPr>
        <w:tblStyle w:val="TableGrid"/>
        <w:tblW w:type="auto" w:w="0"/>
        <w:tblLook w:firstColumn="1" w:firstRow="1" w:lastColumn="0" w:lastRow="0" w:noHBand="0" w:noVBand="1" w:val="04A0"/>
      </w:tblPr>
      <w:tblGrid>
        <w:gridCol w:w="4320"/>
        <w:gridCol w:w="4320"/>
      </w:tblGrid>
      <w:tr>
        <w:tc>
          <w:tcPr>
            <w:tcW w:type="dxa" w:w="1152"/>
            <w:shd w:val="clear" w:color="auto" w:fill="1F6FEB"/>
          </w:tcPr>
          <w:p>
            <w:r/>
            <w:r>
              <w:rPr>
                <w:b/>
                <w:color w:val="FFFFFF"/>
                <w:sz w:val="20"/>
              </w:rPr>
              <w:t>Code</w:t>
            </w:r>
          </w:p>
        </w:tc>
        <w:tc>
          <w:tcPr>
            <w:tcW w:type="dxa" w:w="8496"/>
            <w:shd w:val="clear" w:color="auto" w:fill="1F6FEB"/>
          </w:tcPr>
          <w:p>
            <w:r/>
            <w:r>
              <w:rPr>
                <w:b/>
                <w:color w:val="FFFFFF"/>
                <w:sz w:val="20"/>
              </w:rPr>
              <w:t>Ability / Knowledge statement</w:t>
            </w:r>
          </w:p>
        </w:tc>
      </w:tr>
      <w:tr>
        <w:tc>
          <w:tcPr>
            <w:tcW w:type="dxa" w:w="1152"/>
            <w:shd w:val="clear" w:color="auto" w:fill="E8F0FE"/>
          </w:tcPr>
          <w:p>
            <w:r/>
            <w:r>
              <w:rPr>
                <w:b/>
                <w:sz w:val="19"/>
              </w:rPr>
              <w:t>A1</w:t>
            </w:r>
          </w:p>
        </w:tc>
        <w:tc>
          <w:tcPr>
            <w:tcW w:type="dxa" w:w="8496"/>
          </w:tcPr>
          <w:p>
            <w:r/>
            <w:r>
              <w:rPr>
                <w:sz w:val="19"/>
              </w:rPr>
              <w:t>Implement AI applications in collaboration with technology service providers</w:t>
            </w:r>
          </w:p>
        </w:tc>
      </w:tr>
      <w:tr>
        <w:tc>
          <w:tcPr>
            <w:tcW w:type="dxa" w:w="1152"/>
            <w:shd w:val="clear" w:color="auto" w:fill="E8F0FE"/>
          </w:tcPr>
          <w:p>
            <w:r/>
            <w:r>
              <w:rPr>
                <w:b/>
                <w:sz w:val="19"/>
              </w:rPr>
              <w:t>A2</w:t>
            </w:r>
          </w:p>
        </w:tc>
        <w:tc>
          <w:tcPr>
            <w:tcW w:type="dxa" w:w="8496"/>
          </w:tcPr>
          <w:p>
            <w:r/>
            <w:r>
              <w:rPr>
                <w:sz w:val="19"/>
              </w:rPr>
              <w:t>Deploy AI workflows according to plan</w:t>
            </w:r>
          </w:p>
        </w:tc>
      </w:tr>
      <w:tr>
        <w:tc>
          <w:tcPr>
            <w:tcW w:type="dxa" w:w="1152"/>
            <w:shd w:val="clear" w:color="auto" w:fill="E8F0FE"/>
          </w:tcPr>
          <w:p>
            <w:r/>
            <w:r>
              <w:rPr>
                <w:b/>
                <w:sz w:val="19"/>
              </w:rPr>
              <w:t>A3</w:t>
            </w:r>
          </w:p>
        </w:tc>
        <w:tc>
          <w:tcPr>
            <w:tcW w:type="dxa" w:w="8496"/>
          </w:tcPr>
          <w:p>
            <w:r/>
            <w:r>
              <w:rPr>
                <w:sz w:val="19"/>
              </w:rPr>
              <w:t>Identify and report any issues with the AI applications and data collected</w:t>
            </w:r>
          </w:p>
        </w:tc>
      </w:tr>
      <w:tr>
        <w:tc>
          <w:tcPr>
            <w:tcW w:type="dxa" w:w="1152"/>
            <w:shd w:val="clear" w:color="auto" w:fill="E8F0FE"/>
          </w:tcPr>
          <w:p>
            <w:r/>
            <w:r>
              <w:rPr>
                <w:b/>
                <w:sz w:val="19"/>
              </w:rPr>
              <w:t>K1</w:t>
            </w:r>
          </w:p>
        </w:tc>
        <w:tc>
          <w:tcPr>
            <w:tcW w:type="dxa" w:w="8496"/>
          </w:tcPr>
          <w:p>
            <w:r/>
            <w:r>
              <w:rPr>
                <w:sz w:val="19"/>
              </w:rPr>
              <w:t>Background and basics of AI</w:t>
            </w:r>
          </w:p>
        </w:tc>
      </w:tr>
      <w:tr>
        <w:tc>
          <w:tcPr>
            <w:tcW w:type="dxa" w:w="1152"/>
            <w:shd w:val="clear" w:color="auto" w:fill="E8F0FE"/>
          </w:tcPr>
          <w:p>
            <w:r/>
            <w:r>
              <w:rPr>
                <w:b/>
                <w:sz w:val="19"/>
              </w:rPr>
              <w:t>K2</w:t>
            </w:r>
          </w:p>
        </w:tc>
        <w:tc>
          <w:tcPr>
            <w:tcW w:type="dxa" w:w="8496"/>
          </w:tcPr>
          <w:p>
            <w:r/>
            <w:r>
              <w:rPr>
                <w:sz w:val="19"/>
              </w:rPr>
              <w:t>Fundamental concepts and methods of statistics and programming for data science</w:t>
            </w:r>
          </w:p>
        </w:tc>
      </w:tr>
      <w:tr>
        <w:tc>
          <w:tcPr>
            <w:tcW w:type="dxa" w:w="1152"/>
            <w:shd w:val="clear" w:color="auto" w:fill="E8F0FE"/>
          </w:tcPr>
          <w:p>
            <w:r/>
            <w:r>
              <w:rPr>
                <w:b/>
                <w:sz w:val="19"/>
              </w:rPr>
              <w:t>K3</w:t>
            </w:r>
          </w:p>
        </w:tc>
        <w:tc>
          <w:tcPr>
            <w:tcW w:type="dxa" w:w="8496"/>
          </w:tcPr>
          <w:p>
            <w:r/>
            <w:r>
              <w:rPr>
                <w:sz w:val="19"/>
              </w:rPr>
              <w:t>Mathematics and computing theories</w:t>
            </w:r>
          </w:p>
        </w:tc>
      </w:tr>
      <w:tr>
        <w:tc>
          <w:tcPr>
            <w:tcW w:type="dxa" w:w="1152"/>
            <w:shd w:val="clear" w:color="auto" w:fill="E8F0FE"/>
          </w:tcPr>
          <w:p>
            <w:r/>
            <w:r>
              <w:rPr>
                <w:b/>
                <w:sz w:val="19"/>
              </w:rPr>
              <w:t>K4</w:t>
            </w:r>
          </w:p>
        </w:tc>
        <w:tc>
          <w:tcPr>
            <w:tcW w:type="dxa" w:w="8496"/>
          </w:tcPr>
          <w:p>
            <w:r/>
            <w:r>
              <w:rPr>
                <w:sz w:val="19"/>
              </w:rPr>
              <w:t>Machine learning techniques and applications</w:t>
            </w:r>
          </w:p>
        </w:tc>
      </w:tr>
      <w:tr>
        <w:tc>
          <w:tcPr>
            <w:tcW w:type="dxa" w:w="1152"/>
            <w:shd w:val="clear" w:color="auto" w:fill="E8F0FE"/>
          </w:tcPr>
          <w:p>
            <w:r/>
            <w:r>
              <w:rPr>
                <w:b/>
                <w:sz w:val="19"/>
              </w:rPr>
              <w:t>K5</w:t>
            </w:r>
          </w:p>
        </w:tc>
        <w:tc>
          <w:tcPr>
            <w:tcW w:type="dxa" w:w="8496"/>
          </w:tcPr>
          <w:p>
            <w:r/>
            <w:r>
              <w:rPr>
                <w:sz w:val="19"/>
              </w:rPr>
              <w:t>Principles of data management</w:t>
            </w:r>
          </w:p>
        </w:tc>
      </w:tr>
      <w:tr>
        <w:tc>
          <w:tcPr>
            <w:tcW w:type="dxa" w:w="1152"/>
            <w:shd w:val="clear" w:color="auto" w:fill="E8F0FE"/>
          </w:tcPr>
          <w:p>
            <w:r/>
            <w:r>
              <w:rPr>
                <w:b/>
                <w:sz w:val="19"/>
              </w:rPr>
              <w:t>K6</w:t>
            </w:r>
          </w:p>
        </w:tc>
        <w:tc>
          <w:tcPr>
            <w:tcW w:type="dxa" w:w="8496"/>
          </w:tcPr>
          <w:p>
            <w:r/>
            <w:r>
              <w:rPr>
                <w:sz w:val="19"/>
              </w:rPr>
              <w:t>Software development methodologies</w:t>
            </w:r>
          </w:p>
        </w:tc>
      </w:tr>
      <w:tr>
        <w:tc>
          <w:tcPr>
            <w:tcW w:type="dxa" w:w="1152"/>
            <w:shd w:val="clear" w:color="auto" w:fill="E8F0FE"/>
          </w:tcPr>
          <w:p>
            <w:r/>
            <w:r>
              <w:rPr>
                <w:b/>
                <w:sz w:val="19"/>
              </w:rPr>
              <w:t>K7</w:t>
            </w:r>
          </w:p>
        </w:tc>
        <w:tc>
          <w:tcPr>
            <w:tcW w:type="dxa" w:w="8496"/>
          </w:tcPr>
          <w:p>
            <w:r/>
            <w:r>
              <w:rPr>
                <w:sz w:val="19"/>
              </w:rPr>
              <w:t>Types of AI applications</w:t>
            </w:r>
          </w:p>
        </w:tc>
      </w:tr>
      <w:tr>
        <w:tc>
          <w:tcPr>
            <w:tcW w:type="dxa" w:w="1152"/>
            <w:shd w:val="clear" w:color="auto" w:fill="E8F0FE"/>
          </w:tcPr>
          <w:p>
            <w:r/>
            <w:r>
              <w:rPr>
                <w:b/>
                <w:sz w:val="19"/>
              </w:rPr>
              <w:t>K8</w:t>
            </w:r>
          </w:p>
        </w:tc>
        <w:tc>
          <w:tcPr>
            <w:tcW w:type="dxa" w:w="8496"/>
          </w:tcPr>
          <w:p>
            <w:r/>
            <w:r>
              <w:rPr>
                <w:sz w:val="19"/>
              </w:rPr>
              <w:t>AI implementation procedures</w:t>
            </w:r>
          </w:p>
        </w:tc>
      </w:tr>
    </w:tbl>
    <w:p>
      <w:pPr>
        <w:pStyle w:val="Heading1"/>
      </w:pPr>
      <w:r>
        <w:t>Assessment</w:t>
      </w:r>
    </w:p>
    <w:p>
      <w:pPr>
        <w:pStyle w:val="ListBullet"/>
      </w:pPr>
      <w:r>
        <w:rPr>
          <w:sz w:val="21"/>
        </w:rPr>
        <w:t>Written Assessment (WA) — Short-Answer Questions (SAQ), 1 hour, open book.</w:t>
      </w:r>
    </w:p>
    <w:p>
      <w:pPr>
        <w:pStyle w:val="ListBullet"/>
      </w:pPr>
      <w:r>
        <w:rPr>
          <w:sz w:val="21"/>
        </w:rPr>
        <w:t>Practical Performance (PP) — hands-on n8n build tasks, 1 hour, open book.</w:t>
      </w:r>
    </w:p>
    <w:p>
      <w:pPr>
        <w:pStyle w:val="ListBullet"/>
      </w:pPr>
      <w:r>
        <w:rPr>
          <w:sz w:val="21"/>
        </w:rPr>
        <w:t>Format: Open Book — course slides, Learner Guide and approved materials only.</w:t>
      </w:r>
    </w:p>
    <w:p>
      <w:pPr>
        <w:pStyle w:val="ListBullet"/>
      </w:pPr>
      <w:r>
        <w:rPr>
          <w:sz w:val="21"/>
        </w:rPr>
        <w:t>The Written Assessment covers the Knowledge (K) statements; the Practical Performance covers the Ability (A) statements.</w:t>
      </w:r>
    </w:p>
    <w:p>
      <w:pPr>
        <w:pStyle w:val="ListBullet"/>
      </w:pPr>
      <w:r>
        <w:rPr>
          <w:sz w:val="21"/>
        </w:rPr>
        <w:t>Final assessment is conducted at the end of Day 2.</w:t>
      </w:r>
    </w:p>
    <w:p>
      <w:pPr>
        <w:pStyle w:val="ListBullet"/>
      </w:pPr>
      <w:r>
        <w:rPr>
          <w:sz w:val="21"/>
        </w:rPr>
        <w:t>A minimum of 75% attendance is required to be eligible for assessment and funding.</w:t>
      </w:r>
    </w:p>
    <w:p>
      <w:pPr>
        <w:pStyle w:val="Heading1"/>
      </w:pPr>
      <w:r>
        <w:t>Course Schedule</w:t>
      </w:r>
    </w:p>
    <w:p>
      <w:pPr>
        <w:pStyle w:val="Heading2"/>
      </w:pPr>
      <w:r>
        <w:t>Day 1 — n8n, AI Agents and Agentic Chatbots</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7056"/>
            <w:shd w:val="clear" w:color="auto" w:fill="1F6FEB"/>
          </w:tcPr>
          <w:p>
            <w:r/>
            <w:r>
              <w:rPr>
                <w:rFonts w:ascii="Arial" w:hAnsi="Arial"/>
                <w:b/>
                <w:color w:val="FFFFFF"/>
                <w:sz w:val="20"/>
              </w:rPr>
              <w:t>Topic / Activity (with slide references)</w:t>
            </w:r>
          </w:p>
        </w:tc>
      </w:tr>
      <w:tr>
        <w:tc>
          <w:tcPr>
            <w:tcW w:type="dxa" w:w="1440"/>
            <w:shd w:val="clear" w:color="auto" w:fill="F3F5F8"/>
          </w:tcPr>
          <w:p>
            <w:r/>
            <w:r>
              <w:rPr>
                <w:rFonts w:ascii="Arial" w:hAnsi="Arial"/>
                <w:b w:val="0"/>
                <w:sz w:val="19"/>
              </w:rPr>
              <w:t>9:30–10:00</w:t>
            </w:r>
          </w:p>
        </w:tc>
        <w:tc>
          <w:tcPr>
            <w:tcW w:type="dxa" w:w="1152"/>
            <w:shd w:val="clear" w:color="auto" w:fill="F3F5F8"/>
          </w:tcPr>
          <w:p>
            <w:r/>
            <w:r>
              <w:rPr>
                <w:rFonts w:ascii="Arial" w:hAnsi="Arial"/>
                <w:b w:val="0"/>
                <w:sz w:val="19"/>
              </w:rPr>
              <w:t>30 min</w:t>
            </w:r>
          </w:p>
        </w:tc>
        <w:tc>
          <w:tcPr>
            <w:tcW w:type="dxa" w:w="7056"/>
            <w:shd w:val="clear" w:color="auto" w:fill="F3F5F8"/>
          </w:tcPr>
          <w:p>
            <w:r/>
            <w:r>
              <w:rPr>
                <w:rFonts w:ascii="Arial" w:hAnsi="Arial"/>
                <w:b w:val="0"/>
                <w:sz w:val="19"/>
              </w:rPr>
              <w:t>Welcome, trainer and learner introductions, ground rules, course outline, learning outcomes, Skills Framework alignment and mandatory digital attendance (AM). Slides 2–20</w:t>
            </w:r>
          </w:p>
        </w:tc>
      </w:tr>
      <w:tr>
        <w:tc>
          <w:tcPr>
            <w:tcW w:type="dxa" w:w="1440"/>
            <w:shd w:val="clear" w:color="auto" w:fill="E8F0FE"/>
          </w:tcPr>
          <w:p>
            <w:r/>
            <w:r>
              <w:rPr>
                <w:rFonts w:ascii="Arial" w:hAnsi="Arial"/>
                <w:b/>
                <w:sz w:val="19"/>
              </w:rPr>
              <w:t>10:00–11:00</w:t>
            </w:r>
          </w:p>
        </w:tc>
        <w:tc>
          <w:tcPr>
            <w:tcW w:type="dxa" w:w="1152"/>
            <w:shd w:val="clear" w:color="auto" w:fill="E8F0FE"/>
          </w:tcPr>
          <w:p>
            <w:r/>
            <w:r>
              <w:rPr>
                <w:rFonts w:ascii="Arial" w:hAnsi="Arial"/>
                <w:b w:val="0"/>
                <w:sz w:val="19"/>
              </w:rPr>
              <w:t>60 min</w:t>
            </w:r>
          </w:p>
        </w:tc>
        <w:tc>
          <w:tcPr>
            <w:tcW w:type="dxa" w:w="7056"/>
            <w:shd w:val="clear" w:color="auto" w:fill="E8F0FE"/>
          </w:tcPr>
          <w:p>
            <w:r/>
            <w:r>
              <w:rPr>
                <w:rFonts w:ascii="Arial" w:hAnsi="Arial"/>
                <w:b/>
                <w:sz w:val="19"/>
              </w:rPr>
              <w:t>Topic 1 — Overview of n8n and AI Agents: why agentic AI, and why workflow first — a brief history of AI 2023–2026, agentic AI vs AI agents, workflow first vs AI first, building workflows with Claude Code and Codex, the five principles of AI security, business value, use cases and platform tiers. Slides 21–30</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11:15–12:30</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1 (continued) — n8n fundamentals: what n8n is, hosting options, credentials, node types, trigger nodes, data-processing nodes, JSON and expressions, execution modes. Slides 31–42</w:t>
            </w:r>
          </w:p>
        </w:tc>
      </w:tr>
      <w:tr>
        <w:tc>
          <w:tcPr>
            <w:tcW w:type="dxa" w:w="1440"/>
            <w:shd w:val="clear" w:color="auto" w:fill="FDE9D9"/>
          </w:tcPr>
          <w:p>
            <w:r/>
            <w:r>
              <w:rPr>
                <w:rFonts w:ascii="Arial" w:hAnsi="Arial"/>
                <w:b w:val="0"/>
                <w:sz w:val="19"/>
              </w:rPr>
              <w:t>12:30–13:30</w:t>
            </w:r>
          </w:p>
        </w:tc>
        <w:tc>
          <w:tcPr>
            <w:tcW w:type="dxa" w:w="1152"/>
            <w:shd w:val="clear" w:color="auto" w:fill="FDE9D9"/>
          </w:tcPr>
          <w:p>
            <w:r/>
            <w:r>
              <w:rPr>
                <w:rFonts w:ascii="Arial" w:hAnsi="Arial"/>
                <w:b w:val="0"/>
                <w:sz w:val="19"/>
              </w:rPr>
              <w:t>60 min</w:t>
            </w:r>
          </w:p>
        </w:tc>
        <w:tc>
          <w:tcPr>
            <w:tcW w:type="dxa" w:w="7056"/>
            <w:shd w:val="clear" w:color="auto" w:fill="FDE9D9"/>
          </w:tcPr>
          <w:p>
            <w:r/>
            <w:r>
              <w:rPr>
                <w:rFonts w:ascii="Arial" w:hAnsi="Arial"/>
                <w:b w:val="0"/>
                <w:sz w:val="19"/>
              </w:rPr>
              <w:t>Lunch break</w:t>
            </w:r>
          </w:p>
        </w:tc>
      </w:tr>
      <w:tr>
        <w:tc>
          <w:tcPr>
            <w:tcW w:type="dxa" w:w="1440"/>
            <w:shd w:val="clear" w:color="auto" w:fill="E8F0FE"/>
          </w:tcPr>
          <w:p>
            <w:r/>
            <w:r>
              <w:rPr>
                <w:rFonts w:ascii="Arial" w:hAnsi="Arial"/>
                <w:b/>
                <w:sz w:val="19"/>
              </w:rPr>
              <w:t>13:30–14:45</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1 (continued) — AI agents: the four components (model, memory, tools, instructions), popular LLM providers, model parameters and temperature, instruction design with worked examples, and MCP. Slides 43–52</w:t>
            </w:r>
          </w:p>
        </w:tc>
      </w:tr>
      <w:tr>
        <w:tc>
          <w:tcPr>
            <w:tcW w:type="dxa" w:w="1440"/>
            <w:shd w:val="clear" w:color="auto" w:fill="E8F0FE"/>
          </w:tcPr>
          <w:p>
            <w:r/>
            <w:r>
              <w:rPr>
                <w:rFonts w:ascii="Arial" w:hAnsi="Arial"/>
                <w:b/>
                <w:sz w:val="19"/>
              </w:rPr>
              <w:t>14:45–15:45</w:t>
            </w:r>
          </w:p>
        </w:tc>
        <w:tc>
          <w:tcPr>
            <w:tcW w:type="dxa" w:w="1152"/>
            <w:shd w:val="clear" w:color="auto" w:fill="E8F0FE"/>
          </w:tcPr>
          <w:p>
            <w:r/>
            <w:r>
              <w:rPr>
                <w:rFonts w:ascii="Arial" w:hAnsi="Arial"/>
                <w:b w:val="0"/>
                <w:sz w:val="19"/>
              </w:rPr>
              <w:t>60 min</w:t>
            </w:r>
          </w:p>
        </w:tc>
        <w:tc>
          <w:tcPr>
            <w:tcW w:type="dxa" w:w="7056"/>
            <w:shd w:val="clear" w:color="auto" w:fill="E8F0FE"/>
          </w:tcPr>
          <w:p>
            <w:r/>
            <w:r>
              <w:rPr>
                <w:rFonts w:ascii="Arial" w:hAnsi="Arial"/>
                <w:b/>
                <w:sz w:val="19"/>
              </w:rPr>
              <w:t>Topic 1 (continued) — Webhooks: the inbound URL, webhook vs HTTP Request, GET vs POST, Test vs Production URL, webhook configuration and structured output. Slides 53–60</w:t>
            </w:r>
          </w:p>
        </w:tc>
      </w:tr>
      <w:tr>
        <w:tc>
          <w:tcPr>
            <w:tcW w:type="dxa" w:w="1440"/>
            <w:shd w:val="clear" w:color="auto" w:fill="FFF4E5"/>
          </w:tcPr>
          <w:p>
            <w:r/>
            <w:r>
              <w:rPr>
                <w:rFonts w:ascii="Arial" w:hAnsi="Arial"/>
                <w:b w:val="0"/>
                <w:sz w:val="19"/>
              </w:rPr>
              <w:t>15:45–16:00</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tcPr>
          <w:p>
            <w:r/>
            <w:r>
              <w:rPr>
                <w:rFonts w:ascii="Arial" w:hAnsi="Arial"/>
                <w:b w:val="0"/>
                <w:sz w:val="19"/>
              </w:rPr>
              <w:t>16:00–17:00</w:t>
            </w:r>
          </w:p>
        </w:tc>
        <w:tc>
          <w:tcPr>
            <w:tcW w:type="dxa" w:w="1152"/>
          </w:tcPr>
          <w:p>
            <w:r/>
            <w:r>
              <w:rPr>
                <w:rFonts w:ascii="Arial" w:hAnsi="Arial"/>
                <w:b w:val="0"/>
                <w:sz w:val="19"/>
              </w:rPr>
              <w:t>60 min</w:t>
            </w:r>
          </w:p>
        </w:tc>
        <w:tc>
          <w:tcPr>
            <w:tcW w:type="dxa" w:w="7056"/>
          </w:tcPr>
          <w:p>
            <w:r/>
            <w:r>
              <w:rPr>
                <w:rFonts w:ascii="Arial" w:hAnsi="Arial"/>
                <w:b w:val="0"/>
                <w:sz w:val="19"/>
              </w:rPr>
              <w:t>Hands-on Lab 1 — n8n Trigger and Action (Event Flyer with QR Code). Slides 61–64</w:t>
            </w:r>
          </w:p>
        </w:tc>
      </w:tr>
      <w:tr>
        <w:tc>
          <w:tcPr>
            <w:tcW w:type="dxa" w:w="1440"/>
          </w:tcPr>
          <w:p>
            <w:r/>
            <w:r>
              <w:rPr>
                <w:rFonts w:ascii="Arial" w:hAnsi="Arial"/>
                <w:b w:val="0"/>
                <w:sz w:val="19"/>
              </w:rPr>
              <w:t>17:00–18:15</w:t>
            </w:r>
          </w:p>
        </w:tc>
        <w:tc>
          <w:tcPr>
            <w:tcW w:type="dxa" w:w="1152"/>
          </w:tcPr>
          <w:p>
            <w:r/>
            <w:r>
              <w:rPr>
                <w:rFonts w:ascii="Arial" w:hAnsi="Arial"/>
                <w:b w:val="0"/>
                <w:sz w:val="19"/>
              </w:rPr>
              <w:t>75 min</w:t>
            </w:r>
          </w:p>
        </w:tc>
        <w:tc>
          <w:tcPr>
            <w:tcW w:type="dxa" w:w="7056"/>
          </w:tcPr>
          <w:p>
            <w:r/>
            <w:r>
              <w:rPr>
                <w:rFonts w:ascii="Arial" w:hAnsi="Arial"/>
                <w:b w:val="0"/>
                <w:sz w:val="19"/>
              </w:rPr>
              <w:t>Hands-on Lab 2 — Webhook and AI Agent (Marina Trust Bank Onboarding). Slides 65–67</w:t>
            </w:r>
          </w:p>
        </w:tc>
      </w:tr>
      <w:tr>
        <w:tc>
          <w:tcPr>
            <w:tcW w:type="dxa" w:w="1440"/>
            <w:shd w:val="clear" w:color="auto" w:fill="F3F5F8"/>
          </w:tcPr>
          <w:p>
            <w:r/>
            <w:r>
              <w:rPr>
                <w:rFonts w:ascii="Arial" w:hAnsi="Arial"/>
                <w:b w:val="0"/>
                <w:sz w:val="19"/>
              </w:rPr>
              <w:t>18:15–18:30</w:t>
            </w:r>
          </w:p>
        </w:tc>
        <w:tc>
          <w:tcPr>
            <w:tcW w:type="dxa" w:w="1152"/>
            <w:shd w:val="clear" w:color="auto" w:fill="F3F5F8"/>
          </w:tcPr>
          <w:p>
            <w:r/>
            <w:r>
              <w:rPr>
                <w:rFonts w:ascii="Arial" w:hAnsi="Arial"/>
                <w:b w:val="0"/>
                <w:sz w:val="19"/>
              </w:rPr>
              <w:t>15 min</w:t>
            </w:r>
          </w:p>
        </w:tc>
        <w:tc>
          <w:tcPr>
            <w:tcW w:type="dxa" w:w="7056"/>
            <w:shd w:val="clear" w:color="auto" w:fill="F3F5F8"/>
          </w:tcPr>
          <w:p>
            <w:r/>
            <w:r>
              <w:rPr>
                <w:rFonts w:ascii="Arial" w:hAnsi="Arial"/>
                <w:b w:val="0"/>
                <w:sz w:val="19"/>
              </w:rPr>
              <w:t>Day 1 recap, Q&amp;A and PM digital attendance</w:t>
            </w:r>
          </w:p>
        </w:tc>
      </w:tr>
    </w:tbl>
    <w:p>
      <w:r>
        <w:rPr>
          <w:i/>
          <w:color w:val="555B66"/>
          <w:sz w:val="19"/>
        </w:rPr>
        <w:t>Instructional time: 480 minutes (8 hours).  The day runs 9:30 am - 6:30 pm: the 1-hour lunch is excluded from instructional time and the tea breaks are counted within it.</w:t>
      </w:r>
    </w:p>
    <w:p>
      <w:pPr>
        <w:pStyle w:val="Heading2"/>
      </w:pPr>
      <w:r>
        <w:t>Day 2 — Human in the Loop, RAG and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7056"/>
            <w:shd w:val="clear" w:color="auto" w:fill="1F6FEB"/>
          </w:tcPr>
          <w:p>
            <w:r/>
            <w:r>
              <w:rPr>
                <w:rFonts w:ascii="Arial" w:hAnsi="Arial"/>
                <w:b/>
                <w:color w:val="FFFFFF"/>
                <w:sz w:val="20"/>
              </w:rPr>
              <w:t>Topic / Activity (with slide references)</w:t>
            </w:r>
          </w:p>
        </w:tc>
      </w:tr>
      <w:tr>
        <w:tc>
          <w:tcPr>
            <w:tcW w:type="dxa" w:w="1440"/>
            <w:shd w:val="clear" w:color="auto" w:fill="F3F5F8"/>
          </w:tcPr>
          <w:p>
            <w:r/>
            <w:r>
              <w:rPr>
                <w:rFonts w:ascii="Arial" w:hAnsi="Arial"/>
                <w:b w:val="0"/>
                <w:sz w:val="19"/>
              </w:rPr>
              <w:t>9:30–9:45</w:t>
            </w:r>
          </w:p>
        </w:tc>
        <w:tc>
          <w:tcPr>
            <w:tcW w:type="dxa" w:w="1152"/>
            <w:shd w:val="clear" w:color="auto" w:fill="F3F5F8"/>
          </w:tcPr>
          <w:p>
            <w:r/>
            <w:r>
              <w:rPr>
                <w:rFonts w:ascii="Arial" w:hAnsi="Arial"/>
                <w:b w:val="0"/>
                <w:sz w:val="19"/>
              </w:rPr>
              <w:t>15 min</w:t>
            </w:r>
          </w:p>
        </w:tc>
        <w:tc>
          <w:tcPr>
            <w:tcW w:type="dxa" w:w="7056"/>
            <w:shd w:val="clear" w:color="auto" w:fill="F3F5F8"/>
          </w:tcPr>
          <w:p>
            <w:r/>
            <w:r>
              <w:rPr>
                <w:rFonts w:ascii="Arial" w:hAnsi="Arial"/>
                <w:b w:val="0"/>
                <w:sz w:val="19"/>
              </w:rPr>
              <w:t>Day 1 recap and mandatory digital attendance (AM)</w:t>
            </w:r>
          </w:p>
        </w:tc>
      </w:tr>
      <w:tr>
        <w:tc>
          <w:tcPr>
            <w:tcW w:type="dxa" w:w="1440"/>
            <w:shd w:val="clear" w:color="auto" w:fill="E8F0FE"/>
          </w:tcPr>
          <w:p>
            <w:r/>
            <w:r>
              <w:rPr>
                <w:rFonts w:ascii="Arial" w:hAnsi="Arial"/>
                <w:b/>
                <w:sz w:val="19"/>
              </w:rPr>
              <w:t>9:45–11:00</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2 — Agentic Chatbot and Human in the Loop: human in, on and out of the loop; how an approval suspends a running workflow; when a human belongs in the workflow; and guardrails. Slides 69–73</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tcPr>
          <w:p>
            <w:r/>
            <w:r>
              <w:rPr>
                <w:rFonts w:ascii="Arial" w:hAnsi="Arial"/>
                <w:b w:val="0"/>
                <w:sz w:val="19"/>
              </w:rPr>
              <w:t>11:15–12:30</w:t>
            </w:r>
          </w:p>
        </w:tc>
        <w:tc>
          <w:tcPr>
            <w:tcW w:type="dxa" w:w="1152"/>
          </w:tcPr>
          <w:p>
            <w:r/>
            <w:r>
              <w:rPr>
                <w:rFonts w:ascii="Arial" w:hAnsi="Arial"/>
                <w:b w:val="0"/>
                <w:sz w:val="19"/>
              </w:rPr>
              <w:t>75 min</w:t>
            </w:r>
          </w:p>
        </w:tc>
        <w:tc>
          <w:tcPr>
            <w:tcW w:type="dxa" w:w="7056"/>
          </w:tcPr>
          <w:p>
            <w:r/>
            <w:r>
              <w:rPr>
                <w:rFonts w:ascii="Arial" w:hAnsi="Arial"/>
                <w:b w:val="0"/>
                <w:sz w:val="19"/>
              </w:rPr>
              <w:t>Hands-on Lab 3 — Chatbot Webhook (Investment Advisor): the contact gate and the four compliance probes. Slides 74–76</w:t>
            </w:r>
          </w:p>
        </w:tc>
      </w:tr>
      <w:tr>
        <w:tc>
          <w:tcPr>
            <w:tcW w:type="dxa" w:w="1440"/>
            <w:shd w:val="clear" w:color="auto" w:fill="FDE9D9"/>
          </w:tcPr>
          <w:p>
            <w:r/>
            <w:r>
              <w:rPr>
                <w:rFonts w:ascii="Arial" w:hAnsi="Arial"/>
                <w:b w:val="0"/>
                <w:sz w:val="19"/>
              </w:rPr>
              <w:t>12:30–13:30</w:t>
            </w:r>
          </w:p>
        </w:tc>
        <w:tc>
          <w:tcPr>
            <w:tcW w:type="dxa" w:w="1152"/>
            <w:shd w:val="clear" w:color="auto" w:fill="FDE9D9"/>
          </w:tcPr>
          <w:p>
            <w:r/>
            <w:r>
              <w:rPr>
                <w:rFonts w:ascii="Arial" w:hAnsi="Arial"/>
                <w:b w:val="0"/>
                <w:sz w:val="19"/>
              </w:rPr>
              <w:t>60 min</w:t>
            </w:r>
          </w:p>
        </w:tc>
        <w:tc>
          <w:tcPr>
            <w:tcW w:type="dxa" w:w="7056"/>
            <w:shd w:val="clear" w:color="auto" w:fill="FDE9D9"/>
          </w:tcPr>
          <w:p>
            <w:r/>
            <w:r>
              <w:rPr>
                <w:rFonts w:ascii="Arial" w:hAnsi="Arial"/>
                <w:b w:val="0"/>
                <w:sz w:val="19"/>
              </w:rPr>
              <w:t>Lunch break</w:t>
            </w:r>
          </w:p>
        </w:tc>
      </w:tr>
      <w:tr>
        <w:tc>
          <w:tcPr>
            <w:tcW w:type="dxa" w:w="1440"/>
          </w:tcPr>
          <w:p>
            <w:r/>
            <w:r>
              <w:rPr>
                <w:rFonts w:ascii="Arial" w:hAnsi="Arial"/>
                <w:b w:val="0"/>
                <w:sz w:val="19"/>
              </w:rPr>
              <w:t>13:30–15:00</w:t>
            </w:r>
          </w:p>
        </w:tc>
        <w:tc>
          <w:tcPr>
            <w:tcW w:type="dxa" w:w="1152"/>
          </w:tcPr>
          <w:p>
            <w:r/>
            <w:r>
              <w:rPr>
                <w:rFonts w:ascii="Arial" w:hAnsi="Arial"/>
                <w:b w:val="0"/>
                <w:sz w:val="19"/>
              </w:rPr>
              <w:t>90 min</w:t>
            </w:r>
          </w:p>
        </w:tc>
        <w:tc>
          <w:tcPr>
            <w:tcW w:type="dxa" w:w="7056"/>
          </w:tcPr>
          <w:p>
            <w:r/>
            <w:r>
              <w:rPr>
                <w:rFonts w:ascii="Arial" w:hAnsi="Arial"/>
                <w:b w:val="0"/>
                <w:sz w:val="19"/>
              </w:rPr>
              <w:t>Hands-on Lab 4 — Human in the Loop (Client Rapport Assistant): the approve and decline paths. Slides 77–79</w:t>
            </w:r>
          </w:p>
        </w:tc>
      </w:tr>
      <w:tr>
        <w:tc>
          <w:tcPr>
            <w:tcW w:type="dxa" w:w="1440"/>
            <w:shd w:val="clear" w:color="auto" w:fill="FFF4E5"/>
          </w:tcPr>
          <w:p>
            <w:r/>
            <w:r>
              <w:rPr>
                <w:rFonts w:ascii="Arial" w:hAnsi="Arial"/>
                <w:b w:val="0"/>
                <w:sz w:val="19"/>
              </w:rPr>
              <w:t>15:00–15:15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15:15–16:30</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3 — Retrieval-Augmented Generation: why retrieval rather than a bigger prompt, the RAG pipeline, tokenization and embeddings, chunking, vector stores and grounding. Slides 81–89</w:t>
            </w:r>
          </w:p>
        </w:tc>
      </w:tr>
      <w:tr>
        <w:tc>
          <w:tcPr>
            <w:tcW w:type="dxa" w:w="1440"/>
          </w:tcPr>
          <w:p>
            <w:r/>
            <w:r>
              <w:rPr>
                <w:rFonts w:ascii="Arial" w:hAnsi="Arial"/>
                <w:b w:val="0"/>
                <w:sz w:val="19"/>
              </w:rPr>
              <w:t>16:30–18:00</w:t>
            </w:r>
          </w:p>
        </w:tc>
        <w:tc>
          <w:tcPr>
            <w:tcW w:type="dxa" w:w="1152"/>
          </w:tcPr>
          <w:p>
            <w:r/>
            <w:r>
              <w:rPr>
                <w:rFonts w:ascii="Arial" w:hAnsi="Arial"/>
                <w:b w:val="0"/>
                <w:sz w:val="19"/>
              </w:rPr>
              <w:t>90 min</w:t>
            </w:r>
          </w:p>
        </w:tc>
        <w:tc>
          <w:tcPr>
            <w:tcW w:type="dxa" w:w="7056"/>
          </w:tcPr>
          <w:p>
            <w:r/>
            <w:r>
              <w:rPr>
                <w:rFonts w:ascii="Arial" w:hAnsi="Arial"/>
                <w:b w:val="0"/>
                <w:sz w:val="19"/>
              </w:rPr>
              <w:t>Hands-on Lab 5 — RAG Customer Care Chatbot (Cook &amp; Bake Academy): ingestion and the grounded chatbot. Slides 90–93</w:t>
            </w:r>
          </w:p>
        </w:tc>
      </w:tr>
      <w:tr>
        <w:tc>
          <w:tcPr>
            <w:tcW w:type="dxa" w:w="1440"/>
            <w:shd w:val="clear" w:color="auto" w:fill="F3F5F8"/>
          </w:tcPr>
          <w:p>
            <w:r/>
            <w:r>
              <w:rPr>
                <w:rFonts w:ascii="Arial" w:hAnsi="Arial"/>
                <w:b w:val="0"/>
                <w:sz w:val="19"/>
              </w:rPr>
              <w:t>18:00–18:30</w:t>
            </w:r>
          </w:p>
        </w:tc>
        <w:tc>
          <w:tcPr>
            <w:tcW w:type="dxa" w:w="1152"/>
            <w:shd w:val="clear" w:color="auto" w:fill="F3F5F8"/>
          </w:tcPr>
          <w:p>
            <w:r/>
            <w:r>
              <w:rPr>
                <w:rFonts w:ascii="Arial" w:hAnsi="Arial"/>
                <w:b w:val="0"/>
                <w:sz w:val="19"/>
              </w:rPr>
              <w:t>30 min</w:t>
            </w:r>
          </w:p>
        </w:tc>
        <w:tc>
          <w:tcPr>
            <w:tcW w:type="dxa" w:w="7056"/>
            <w:shd w:val="clear" w:color="auto" w:fill="F3F5F8"/>
          </w:tcPr>
          <w:p>
            <w:r/>
            <w:r>
              <w:rPr>
                <w:rFonts w:ascii="Arial" w:hAnsi="Arial"/>
                <w:b w:val="0"/>
                <w:sz w:val="19"/>
              </w:rPr>
              <w:t>Course recap, taking it back to work, Q&amp;A. Slides 94–96</w:t>
            </w:r>
          </w:p>
        </w:tc>
      </w:tr>
      <w:tr>
        <w:tc>
          <w:tcPr>
            <w:tcW w:type="dxa" w:w="1440"/>
            <w:shd w:val="clear" w:color="auto" w:fill="E8F7EE"/>
          </w:tcPr>
          <w:p>
            <w:r/>
            <w:r>
              <w:rPr>
                <w:rFonts w:ascii="Arial" w:hAnsi="Arial"/>
                <w:b/>
                <w:sz w:val="19"/>
              </w:rPr>
              <w:t>18:30–18:45</w:t>
            </w:r>
          </w:p>
        </w:tc>
        <w:tc>
          <w:tcPr>
            <w:tcW w:type="dxa" w:w="1152"/>
            <w:shd w:val="clear" w:color="auto" w:fill="E8F7EE"/>
          </w:tcPr>
          <w:p>
            <w:r/>
            <w:r>
              <w:rPr>
                <w:rFonts w:ascii="Arial" w:hAnsi="Arial"/>
                <w:b w:val="0"/>
                <w:sz w:val="19"/>
              </w:rPr>
              <w:t>15 min</w:t>
            </w:r>
          </w:p>
        </w:tc>
        <w:tc>
          <w:tcPr>
            <w:tcW w:type="dxa" w:w="7056"/>
            <w:shd w:val="clear" w:color="auto" w:fill="E8F7EE"/>
          </w:tcPr>
          <w:p>
            <w:r/>
            <w:r>
              <w:rPr>
                <w:rFonts w:ascii="Arial" w:hAnsi="Arial"/>
                <w:b/>
                <w:sz w:val="19"/>
              </w:rPr>
              <w:t>Briefing for Assessment and Assessment digital attendance</w:t>
            </w:r>
          </w:p>
        </w:tc>
      </w:tr>
      <w:tr>
        <w:tc>
          <w:tcPr>
            <w:tcW w:type="dxa" w:w="1440"/>
            <w:shd w:val="clear" w:color="auto" w:fill="E8F7EE"/>
          </w:tcPr>
          <w:p>
            <w:r/>
            <w:r>
              <w:rPr>
                <w:rFonts w:ascii="Arial" w:hAnsi="Arial"/>
                <w:b/>
                <w:sz w:val="19"/>
              </w:rPr>
              <w:t>18:45–19:45</w:t>
            </w:r>
          </w:p>
        </w:tc>
        <w:tc>
          <w:tcPr>
            <w:tcW w:type="dxa" w:w="1152"/>
            <w:shd w:val="clear" w:color="auto" w:fill="E8F7EE"/>
          </w:tcPr>
          <w:p>
            <w:r/>
            <w:r>
              <w:rPr>
                <w:rFonts w:ascii="Arial" w:hAnsi="Arial"/>
                <w:b w:val="0"/>
                <w:sz w:val="19"/>
              </w:rPr>
              <w:t>60 min</w:t>
            </w:r>
          </w:p>
        </w:tc>
        <w:tc>
          <w:tcPr>
            <w:tcW w:type="dxa" w:w="7056"/>
            <w:shd w:val="clear" w:color="auto" w:fill="E8F7EE"/>
          </w:tcPr>
          <w:p>
            <w:r/>
            <w:r>
              <w:rPr>
                <w:rFonts w:ascii="Arial" w:hAnsi="Arial"/>
                <w:b/>
                <w:sz w:val="19"/>
              </w:rPr>
              <w:t>Written Assessment (WA) — Short-Answer Questions (SAQ), 1 hour, open book</w:t>
            </w:r>
          </w:p>
        </w:tc>
      </w:tr>
      <w:tr>
        <w:tc>
          <w:tcPr>
            <w:tcW w:type="dxa" w:w="1440"/>
            <w:shd w:val="clear" w:color="auto" w:fill="E8F7EE"/>
          </w:tcPr>
          <w:p>
            <w:r/>
            <w:r>
              <w:rPr>
                <w:rFonts w:ascii="Arial" w:hAnsi="Arial"/>
                <w:b/>
                <w:sz w:val="19"/>
              </w:rPr>
              <w:t>19:45–20:45</w:t>
            </w:r>
          </w:p>
        </w:tc>
        <w:tc>
          <w:tcPr>
            <w:tcW w:type="dxa" w:w="1152"/>
            <w:shd w:val="clear" w:color="auto" w:fill="E8F7EE"/>
          </w:tcPr>
          <w:p>
            <w:r/>
            <w:r>
              <w:rPr>
                <w:rFonts w:ascii="Arial" w:hAnsi="Arial"/>
                <w:b w:val="0"/>
                <w:sz w:val="19"/>
              </w:rPr>
              <w:t>60 min</w:t>
            </w:r>
          </w:p>
        </w:tc>
        <w:tc>
          <w:tcPr>
            <w:tcW w:type="dxa" w:w="7056"/>
            <w:shd w:val="clear" w:color="auto" w:fill="E8F7EE"/>
          </w:tcPr>
          <w:p>
            <w:r/>
            <w:r>
              <w:rPr>
                <w:rFonts w:ascii="Arial" w:hAnsi="Arial"/>
                <w:b/>
                <w:sz w:val="19"/>
              </w:rPr>
              <w:t>Practical Performance (PP) — hands-on n8n build tasks, 1 hour, open book. TRAQOM survey and Assessment digital attendance</w:t>
            </w:r>
          </w:p>
        </w:tc>
      </w:tr>
    </w:tbl>
    <w:p>
      <w:r>
        <w:rPr>
          <w:i/>
          <w:color w:val="555B66"/>
          <w:sz w:val="19"/>
        </w:rPr>
        <w:t>Instructional time: 480 minutes (8 hours).  Assessment: 2 hours (WA 1 hour + PP 1 hour), plus a 15-minute briefing.  The day runs 9:30 am - 6:30 pm: the 1-hour lunch is excluded from instructional time and the tea breaks are counted within it.</w:t>
      </w:r>
    </w:p>
    <w:p>
      <w:r>
        <w:rPr>
          <w:b/>
          <w:sz w:val="20"/>
        </w:rPr>
        <w:t>Total instructional time across the course: 16 hours (2 days × 8 hours), plus 2 hours of assessment (WA 1 hour + PP 1 hour) and a 15-minute assessment briefing.</w:t>
      </w:r>
    </w:p>
    <w:p>
      <w:pPr>
        <w:pStyle w:val="Heading1"/>
      </w:pPr>
      <w:r>
        <w:t>Lab Reference (aligned to topics and learning outcomes)</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val="clear" w:color="auto" w:fill="1F6FEB"/>
          </w:tcPr>
          <w:p>
            <w:r/>
            <w:r>
              <w:rPr>
                <w:rFonts w:ascii="Arial" w:hAnsi="Arial"/>
                <w:b/>
                <w:color w:val="FFFFFF"/>
                <w:sz w:val="20"/>
              </w:rPr>
              <w:t>Topic</w:t>
            </w:r>
          </w:p>
        </w:tc>
        <w:tc>
          <w:tcPr>
            <w:tcW w:type="dxa" w:w="1296"/>
            <w:shd w:val="clear" w:color="auto" w:fill="1F6FEB"/>
          </w:tcPr>
          <w:p>
            <w:r/>
            <w:r>
              <w:rPr>
                <w:rFonts w:ascii="Arial" w:hAnsi="Arial"/>
                <w:b/>
                <w:color w:val="FFFFFF"/>
                <w:sz w:val="20"/>
              </w:rPr>
              <w:t>Outcomes</w:t>
            </w:r>
          </w:p>
        </w:tc>
        <w:tc>
          <w:tcPr>
            <w:tcW w:type="dxa" w:w="2304"/>
            <w:shd w:val="clear" w:color="auto" w:fill="1F6FEB"/>
          </w:tcPr>
          <w:p>
            <w:r/>
            <w:r>
              <w:rPr>
                <w:rFonts w:ascii="Arial" w:hAnsi="Arial"/>
                <w:b/>
                <w:color w:val="FFFFFF"/>
                <w:sz w:val="20"/>
              </w:rPr>
              <w:t>Labs</w:t>
            </w:r>
          </w:p>
        </w:tc>
        <w:tc>
          <w:tcPr>
            <w:tcW w:type="dxa" w:w="2016"/>
            <w:shd w:val="clear" w:color="auto" w:fill="1F6FEB"/>
          </w:tcPr>
          <w:p>
            <w:r/>
            <w:r>
              <w:rPr>
                <w:rFonts w:ascii="Arial" w:hAnsi="Arial"/>
                <w:b/>
                <w:color w:val="FFFFFF"/>
                <w:sz w:val="20"/>
              </w:rPr>
              <w:t>Deck slides</w:t>
            </w:r>
          </w:p>
        </w:tc>
      </w:tr>
      <w:tr>
        <w:tc>
          <w:tcPr>
            <w:tcW w:type="dxa" w:w="3744"/>
            <w:shd w:val="clear" w:color="auto" w:fill="E8F0FE"/>
          </w:tcPr>
          <w:p>
            <w:r/>
            <w:r>
              <w:rPr>
                <w:rFonts w:ascii="Arial" w:hAnsi="Arial"/>
                <w:b/>
                <w:sz w:val="19"/>
              </w:rPr>
              <w:t>Topic 01: Overview of n8n and AI Agents</w:t>
            </w:r>
          </w:p>
        </w:tc>
        <w:tc>
          <w:tcPr>
            <w:tcW w:type="dxa" w:w="1296"/>
            <w:shd w:val="clear" w:color="auto" w:fill="E8F0FE"/>
          </w:tcPr>
          <w:p>
            <w:r/>
            <w:r>
              <w:rPr>
                <w:rFonts w:ascii="Arial" w:hAnsi="Arial"/>
                <w:b w:val="0"/>
                <w:sz w:val="19"/>
              </w:rPr>
              <w:t>LO1 · LO2</w:t>
            </w:r>
          </w:p>
        </w:tc>
        <w:tc>
          <w:tcPr>
            <w:tcW w:type="dxa" w:w="2304"/>
          </w:tcPr>
          <w:p>
            <w:r/>
            <w:r>
              <w:rPr>
                <w:rFonts w:ascii="Arial" w:hAnsi="Arial"/>
                <w:b w:val="0"/>
                <w:sz w:val="19"/>
              </w:rPr>
              <w:t>Lab 1, Lab 2</w:t>
            </w:r>
          </w:p>
        </w:tc>
        <w:tc>
          <w:tcPr>
            <w:tcW w:type="dxa" w:w="2016"/>
          </w:tcPr>
          <w:p>
            <w:r/>
            <w:r>
              <w:rPr>
                <w:rFonts w:ascii="Arial" w:hAnsi="Arial"/>
                <w:b w:val="0"/>
                <w:sz w:val="19"/>
              </w:rPr>
              <w:t>Slides 21–68</w:t>
            </w:r>
          </w:p>
        </w:tc>
      </w:tr>
      <w:tr>
        <w:tc>
          <w:tcPr>
            <w:tcW w:type="dxa" w:w="3744"/>
            <w:shd w:val="clear" w:color="auto" w:fill="E8F0FE"/>
          </w:tcPr>
          <w:p>
            <w:r/>
            <w:r>
              <w:rPr>
                <w:rFonts w:ascii="Arial" w:hAnsi="Arial"/>
                <w:b/>
                <w:sz w:val="19"/>
              </w:rPr>
              <w:t>Topic 02: Agentic Chatbot and Human in the Loop</w:t>
            </w:r>
          </w:p>
        </w:tc>
        <w:tc>
          <w:tcPr>
            <w:tcW w:type="dxa" w:w="1296"/>
            <w:shd w:val="clear" w:color="auto" w:fill="E8F0FE"/>
          </w:tcPr>
          <w:p>
            <w:r/>
            <w:r>
              <w:rPr>
                <w:rFonts w:ascii="Arial" w:hAnsi="Arial"/>
                <w:b w:val="0"/>
                <w:sz w:val="19"/>
              </w:rPr>
              <w:t>LO3 · LO4</w:t>
            </w:r>
          </w:p>
        </w:tc>
        <w:tc>
          <w:tcPr>
            <w:tcW w:type="dxa" w:w="2304"/>
          </w:tcPr>
          <w:p>
            <w:r/>
            <w:r>
              <w:rPr>
                <w:rFonts w:ascii="Arial" w:hAnsi="Arial"/>
                <w:b w:val="0"/>
                <w:sz w:val="19"/>
              </w:rPr>
              <w:t>Lab 3, Lab 4</w:t>
            </w:r>
          </w:p>
        </w:tc>
        <w:tc>
          <w:tcPr>
            <w:tcW w:type="dxa" w:w="2016"/>
          </w:tcPr>
          <w:p>
            <w:r/>
            <w:r>
              <w:rPr>
                <w:rFonts w:ascii="Arial" w:hAnsi="Arial"/>
                <w:b w:val="0"/>
                <w:sz w:val="19"/>
              </w:rPr>
              <w:t>Slides 69–80</w:t>
            </w:r>
          </w:p>
        </w:tc>
      </w:tr>
      <w:tr>
        <w:tc>
          <w:tcPr>
            <w:tcW w:type="dxa" w:w="3744"/>
            <w:shd w:val="clear" w:color="auto" w:fill="E8F0FE"/>
          </w:tcPr>
          <w:p>
            <w:r/>
            <w:r>
              <w:rPr>
                <w:rFonts w:ascii="Arial" w:hAnsi="Arial"/>
                <w:b/>
                <w:sz w:val="19"/>
              </w:rPr>
              <w:t>Topic 03: Retrieval-Augmented Generation (RAG)</w:t>
            </w:r>
          </w:p>
        </w:tc>
        <w:tc>
          <w:tcPr>
            <w:tcW w:type="dxa" w:w="1296"/>
            <w:shd w:val="clear" w:color="auto" w:fill="E8F0FE"/>
          </w:tcPr>
          <w:p>
            <w:r/>
            <w:r>
              <w:rPr>
                <w:rFonts w:ascii="Arial" w:hAnsi="Arial"/>
                <w:b w:val="0"/>
                <w:sz w:val="19"/>
              </w:rPr>
              <w:t>LO5</w:t>
            </w:r>
          </w:p>
        </w:tc>
        <w:tc>
          <w:tcPr>
            <w:tcW w:type="dxa" w:w="2304"/>
          </w:tcPr>
          <w:p>
            <w:r/>
            <w:r>
              <w:rPr>
                <w:rFonts w:ascii="Arial" w:hAnsi="Arial"/>
                <w:b w:val="0"/>
                <w:sz w:val="19"/>
              </w:rPr>
              <w:t>Lab 5</w:t>
            </w:r>
          </w:p>
        </w:tc>
        <w:tc>
          <w:tcPr>
            <w:tcW w:type="dxa" w:w="2016"/>
          </w:tcPr>
          <w:p>
            <w:r/>
            <w:r>
              <w:rPr>
                <w:rFonts w:ascii="Arial" w:hAnsi="Arial"/>
                <w:b w:val="0"/>
                <w:sz w:val="19"/>
              </w:rPr>
              <w:t>Slides 81–93</w:t>
            </w:r>
          </w:p>
        </w:tc>
      </w:tr>
    </w:tbl>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