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w:t>
            </w:r>
          </w:p>
        </w:tc>
        <w:tc>
          <w:tcPr>
            <w:tcW w:type="dxa" w:w="2160"/>
          </w:tcPr>
          <w:p>
            <w:r/>
            <w:r>
              <w:rPr>
                <w:sz w:val="19"/>
              </w:rPr>
              <w:t>Dr. Alfred Ang</w:t>
            </w:r>
          </w:p>
        </w:tc>
      </w:tr>
      <w:tr>
        <w:tc>
          <w:tcPr>
            <w:tcW w:type="dxa" w:w="2160"/>
          </w:tcPr>
          <w:p>
            <w:r/>
            <w:r>
              <w:rPr>
                <w:sz w:val="19"/>
              </w:rPr>
              <w:t>2.2</w:t>
            </w:r>
          </w:p>
        </w:tc>
        <w:tc>
          <w:tcPr>
            <w:tcW w:type="dxa" w:w="2160"/>
          </w:tcPr>
          <w:p>
            <w:r/>
            <w:r>
              <w:rPr>
                <w:sz w:val="19"/>
              </w:rPr>
              <w:t>15 October 2026</w:t>
            </w:r>
          </w:p>
        </w:tc>
        <w:tc>
          <w:tcPr>
            <w:tcW w:type="dxa" w:w="2160"/>
          </w:tcPr>
          <w:p>
            <w:r/>
            <w:r>
              <w:rPr>
                <w:sz w:val="19"/>
              </w:rPr>
              <w:t>Topic 1 re-sequenced so each lab follows the concepts it needs: n8n fundamentals, then Lab 1, then the AI agent building blocks (AI agent, model, tools and MCP, instructions, memory) and webhooks, then Lab 2. Lab 1 now covers publishing the workflow, copying the form’s Production URL and creating a QR-code flyer, with step screenshots and flyers from previous learners. Lab 2 opens with how the building blocks fit together. Platform tiers updated for AI-assisted low-code and AI-generated full-code. New LMS login screenshot; Publish replaces the retired Active toggle. Schedule and slide references updated.</w:t>
            </w:r>
          </w:p>
        </w:tc>
        <w:tc>
          <w:tcPr>
            <w:tcW w:type="dxa" w:w="2160"/>
          </w:tcPr>
          <w:p>
            <w:r/>
            <w:r>
              <w:rPr>
                <w:sz w:val="19"/>
              </w:rPr>
              <w:t>Dr. Alfred Ang</w:t>
            </w:r>
          </w:p>
        </w:tc>
      </w:tr>
      <w:tr>
        <w:tc>
          <w:tcPr>
            <w:tcW w:type="dxa" w:w="2160"/>
          </w:tcPr>
          <w:p>
            <w:r/>
            <w:r>
              <w:rPr>
                <w:sz w:val="19"/>
              </w:rPr>
              <w:t>2.3</w:t>
            </w:r>
          </w:p>
        </w:tc>
        <w:tc>
          <w:tcPr>
            <w:tcW w:type="dxa" w:w="2160"/>
          </w:tcPr>
          <w:p>
            <w:r/>
            <w:r>
              <w:rPr>
                <w:sz w:val="19"/>
              </w:rPr>
              <w:t>16 October 2026</w:t>
            </w:r>
          </w:p>
        </w:tc>
        <w:tc>
          <w:tcPr>
            <w:tcW w:type="dxa" w:w="2160"/>
          </w:tcPr>
          <w:p>
            <w:r/>
            <w:r>
              <w:rPr>
                <w:sz w:val="19"/>
              </w:rPr>
              <w:t>Every lab now follows the knowledge it needs. Topic 2 is taught in two blocks: rule-based vs agentic workflows, designing a safe agentic chatbot and a Telegram HR chatbot demo (BotFather /newbot, built with n8n Assistant from one prompt, then a live chat), then Lab 3; then human in, on and out of the loop, how an approval suspends a workflow, when to put a human in the loop and guardrails, then Lab 4. The agent loop is now explained as Context → Plan → Action → Verify and repeat. Lab workflow files and their n8n names are now 'Lab N - &lt;description&gt;', replacing the old LU/Activity names. Real n8n canvas screenshots added for Lab 2, Lab 3 and the Telegram demo, plus a live Telegram chat. Each lab's key concepts in the Learner Guide now sit directly before that lab. Day 2 schedule and slide references updated.</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Skills Framework Alignment</w:t>
        <w:tab/>
        <w:t>6</w:t>
      </w:r>
    </w:p>
    <w:p>
      <w:pPr>
        <w:tabs>
          <w:tab w:pos="9072" w:val="right" w:leader="dot"/>
        </w:tabs>
        <w:spacing w:after="60"/>
      </w:pPr>
      <w:r>
        <w:rPr>
          <w:rFonts w:ascii="Arial" w:hAnsi="Arial"/>
          <w:b/>
          <w:color w:val="333333"/>
          <w:sz w:val="22"/>
        </w:rPr>
        <w:t>Before You Start — Environment Setup</w:t>
        <w:tab/>
        <w:t>7</w:t>
      </w:r>
    </w:p>
    <w:p>
      <w:pPr>
        <w:tabs>
          <w:tab w:pos="9072" w:val="right" w:leader="dot"/>
        </w:tabs>
        <w:spacing w:after="60"/>
      </w:pPr>
      <w:r>
        <w:rPr>
          <w:rFonts w:ascii="Arial" w:hAnsi="Arial"/>
          <w:b/>
          <w:color w:val="333333"/>
          <w:sz w:val="22"/>
        </w:rPr>
        <w:t>Topic 01 — Overview of n8n and AI Agents</w:t>
        <w:tab/>
        <w:t>8</w:t>
      </w:r>
    </w:p>
    <w:p>
      <w:pPr>
        <w:tabs>
          <w:tab w:pos="9072" w:val="right" w:leader="dot"/>
        </w:tabs>
        <w:spacing w:after="60"/>
        <w:ind w:left="432"/>
      </w:pPr>
      <w:r>
        <w:rPr>
          <w:rFonts w:ascii="Arial" w:hAnsi="Arial"/>
          <w:b w:val="0"/>
          <w:color w:val="333333"/>
          <w:sz w:val="21"/>
        </w:rPr>
        <w:t>Why Agentic AI, and Why Workflow First</w:t>
        <w:tab/>
        <w:t>8</w:t>
      </w:r>
    </w:p>
    <w:p>
      <w:pPr>
        <w:tabs>
          <w:tab w:pos="9072" w:val="right" w:leader="dot"/>
        </w:tabs>
        <w:spacing w:after="60"/>
        <w:ind w:left="432"/>
      </w:pPr>
      <w:r>
        <w:rPr>
          <w:rFonts w:ascii="Arial" w:hAnsi="Arial"/>
          <w:b w:val="0"/>
          <w:color w:val="333333"/>
          <w:sz w:val="21"/>
        </w:rPr>
        <w:t>Key Concepts for Lab 1 — n8n Trigger and Action</w:t>
        <w:tab/>
        <w:t>14</w:t>
      </w:r>
    </w:p>
    <w:p>
      <w:pPr>
        <w:tabs>
          <w:tab w:pos="9072" w:val="right" w:leader="dot"/>
        </w:tabs>
        <w:spacing w:after="60"/>
        <w:ind w:left="432"/>
      </w:pPr>
      <w:r>
        <w:rPr>
          <w:rFonts w:ascii="Arial" w:hAnsi="Arial"/>
          <w:b w:val="0"/>
          <w:color w:val="333333"/>
          <w:sz w:val="21"/>
        </w:rPr>
        <w:t>Lab 1 — n8n Trigger and Action (Event Flyer with QR Code)</w:t>
        <w:tab/>
        <w:t>15</w:t>
      </w:r>
    </w:p>
    <w:p>
      <w:pPr>
        <w:tabs>
          <w:tab w:pos="9072" w:val="right" w:leader="dot"/>
        </w:tabs>
        <w:spacing w:after="60"/>
        <w:ind w:left="432"/>
      </w:pPr>
      <w:r>
        <w:rPr>
          <w:rFonts w:ascii="Arial" w:hAnsi="Arial"/>
          <w:b w:val="0"/>
          <w:color w:val="333333"/>
          <w:sz w:val="21"/>
        </w:rPr>
        <w:t>Key Concepts for Lab 2 — Webhook and AI Agent</w:t>
        <w:tab/>
        <w:t>29</w:t>
      </w:r>
    </w:p>
    <w:p>
      <w:pPr>
        <w:tabs>
          <w:tab w:pos="9072" w:val="right" w:leader="dot"/>
        </w:tabs>
        <w:spacing w:after="60"/>
        <w:ind w:left="432"/>
      </w:pPr>
      <w:r>
        <w:rPr>
          <w:rFonts w:ascii="Arial" w:hAnsi="Arial"/>
          <w:b w:val="0"/>
          <w:color w:val="333333"/>
          <w:sz w:val="21"/>
        </w:rPr>
        <w:t>Lab 2 — Webhook and AI Agent (Marina Trust Bank Onboarding)</w:t>
        <w:tab/>
        <w:t>31</w:t>
      </w:r>
    </w:p>
    <w:p>
      <w:pPr>
        <w:tabs>
          <w:tab w:pos="9072" w:val="right" w:leader="dot"/>
        </w:tabs>
        <w:spacing w:after="60"/>
      </w:pPr>
      <w:r>
        <w:rPr>
          <w:rFonts w:ascii="Arial" w:hAnsi="Arial"/>
          <w:b/>
          <w:color w:val="333333"/>
          <w:sz w:val="22"/>
        </w:rPr>
        <w:t>Topic 02 — Agentic Chatbot and Human in the Loop</w:t>
        <w:tab/>
        <w:t>35</w:t>
      </w:r>
    </w:p>
    <w:p>
      <w:pPr>
        <w:tabs>
          <w:tab w:pos="9072" w:val="right" w:leader="dot"/>
        </w:tabs>
        <w:spacing w:after="60"/>
        <w:ind w:left="432"/>
      </w:pPr>
      <w:r>
        <w:rPr>
          <w:rFonts w:ascii="Arial" w:hAnsi="Arial"/>
          <w:b w:val="0"/>
          <w:color w:val="333333"/>
          <w:sz w:val="21"/>
        </w:rPr>
        <w:t>Key Concepts for Lab 3 — Chatbot Webhook</w:t>
        <w:tab/>
        <w:t>36</w:t>
      </w:r>
    </w:p>
    <w:p>
      <w:pPr>
        <w:tabs>
          <w:tab w:pos="9072" w:val="right" w:leader="dot"/>
        </w:tabs>
        <w:spacing w:after="60"/>
        <w:ind w:left="432"/>
      </w:pPr>
      <w:r>
        <w:rPr>
          <w:rFonts w:ascii="Arial" w:hAnsi="Arial"/>
          <w:b w:val="0"/>
          <w:color w:val="333333"/>
          <w:sz w:val="21"/>
        </w:rPr>
        <w:t>Lab 3 — Chatbot Webhook (Investment Advisor)</w:t>
        <w:tab/>
        <w:t>40</w:t>
      </w:r>
    </w:p>
    <w:p>
      <w:pPr>
        <w:tabs>
          <w:tab w:pos="9072" w:val="right" w:leader="dot"/>
        </w:tabs>
        <w:spacing w:after="60"/>
        <w:ind w:left="432"/>
      </w:pPr>
      <w:r>
        <w:rPr>
          <w:rFonts w:ascii="Arial" w:hAnsi="Arial"/>
          <w:b w:val="0"/>
          <w:color w:val="333333"/>
          <w:sz w:val="21"/>
        </w:rPr>
        <w:t>Key Concepts for Lab 4 — Human in the Loop</w:t>
        <w:tab/>
        <w:t>44</w:t>
      </w:r>
    </w:p>
    <w:p>
      <w:pPr>
        <w:tabs>
          <w:tab w:pos="9072" w:val="right" w:leader="dot"/>
        </w:tabs>
        <w:spacing w:after="60"/>
        <w:ind w:left="432"/>
      </w:pPr>
      <w:r>
        <w:rPr>
          <w:rFonts w:ascii="Arial" w:hAnsi="Arial"/>
          <w:b w:val="0"/>
          <w:color w:val="333333"/>
          <w:sz w:val="21"/>
        </w:rPr>
        <w:t>Lab 4 — Human in the Loop (Client Rapport Assistant)</w:t>
        <w:tab/>
        <w:t>44</w:t>
      </w:r>
    </w:p>
    <w:p>
      <w:pPr>
        <w:tabs>
          <w:tab w:pos="9072" w:val="right" w:leader="dot"/>
        </w:tabs>
        <w:spacing w:after="60"/>
      </w:pPr>
      <w:r>
        <w:rPr>
          <w:rFonts w:ascii="Arial" w:hAnsi="Arial"/>
          <w:b/>
          <w:color w:val="333333"/>
          <w:sz w:val="22"/>
        </w:rPr>
        <w:t>Topic 03 — Retrieval-Augmented Generation (RAG)</w:t>
        <w:tab/>
        <w:t>48</w:t>
      </w:r>
    </w:p>
    <w:p>
      <w:pPr>
        <w:tabs>
          <w:tab w:pos="9072" w:val="right" w:leader="dot"/>
        </w:tabs>
        <w:spacing w:after="60"/>
        <w:ind w:left="432"/>
      </w:pPr>
      <w:r>
        <w:rPr>
          <w:rFonts w:ascii="Arial" w:hAnsi="Arial"/>
          <w:b w:val="0"/>
          <w:color w:val="333333"/>
          <w:sz w:val="21"/>
        </w:rPr>
        <w:t>Key Concepts for Lab 5 — RAG Customer Care Chatbot</w:t>
        <w:tab/>
        <w:t>49</w:t>
      </w:r>
    </w:p>
    <w:p>
      <w:pPr>
        <w:tabs>
          <w:tab w:pos="9072" w:val="right" w:leader="dot"/>
        </w:tabs>
        <w:spacing w:after="60"/>
        <w:ind w:left="432"/>
      </w:pPr>
      <w:r>
        <w:rPr>
          <w:rFonts w:ascii="Arial" w:hAnsi="Arial"/>
          <w:b w:val="0"/>
          <w:color w:val="333333"/>
          <w:sz w:val="21"/>
        </w:rPr>
        <w:t>Lab 5 — RAG Customer Care Chatbot (Cook &amp; Bake Academy)</w:t>
        <w:tab/>
        <w:t>49</w:t>
      </w:r>
    </w:p>
    <w:p>
      <w:pPr>
        <w:tabs>
          <w:tab w:pos="9072" w:val="right" w:leader="dot"/>
        </w:tabs>
        <w:spacing w:after="60"/>
      </w:pPr>
      <w:r>
        <w:rPr>
          <w:rFonts w:ascii="Arial" w:hAnsi="Arial"/>
          <w:b/>
          <w:color w:val="333333"/>
          <w:sz w:val="22"/>
        </w:rPr>
        <w:t>Taking This Back to Work</w:t>
        <w:tab/>
        <w:t>56</w:t>
      </w:r>
    </w:p>
    <w:p>
      <w:pPr>
        <w:tabs>
          <w:tab w:pos="9072" w:val="right" w:leader="dot"/>
        </w:tabs>
        <w:spacing w:after="60"/>
      </w:pPr>
      <w:r>
        <w:rPr>
          <w:rFonts w:ascii="Arial" w:hAnsi="Arial"/>
          <w:b/>
          <w:color w:val="333333"/>
          <w:sz w:val="22"/>
        </w:rPr>
        <w:t>Assessment</w:t>
        <w:tab/>
        <w:t>56</w:t>
      </w:r>
    </w:p>
    <w:p>
      <w:pPr>
        <w:tabs>
          <w:tab w:pos="9072" w:val="right" w:leader="dot"/>
        </w:tabs>
        <w:spacing w:after="60"/>
      </w:pPr>
      <w:r>
        <w:rPr>
          <w:rFonts w:ascii="Arial" w:hAnsi="Arial"/>
          <w:b/>
          <w:color w:val="333333"/>
          <w:sz w:val="22"/>
        </w:rPr>
        <w:t>Glossary</w:t>
        <w:tab/>
        <w:t>56</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Your n8n training account — the trainer assigns one per learner (see the n8n Training Accounts slide). Sign in with it, and do not change its password.</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once the workflow is published</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20–81.)</w:t>
      </w:r>
    </w:p>
    <w:p>
      <w:pPr>
        <w:pStyle w:val="Heading2"/>
      </w:pPr>
      <w:r>
        <w:t>Why Agentic AI, and Why Workflow First</w:t>
      </w:r>
    </w:p>
    <w:p>
      <w:r>
        <w:t>Deck reference: Slides 20–36.</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agent works in a loop — Context, Plan, Action, Verify — and repeats until the goal is met.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Step</w:t>
            </w:r>
          </w:p>
        </w:tc>
        <w:tc>
          <w:tcPr>
            <w:tcW w:type="dxa" w:w="4320"/>
            <w:shd w:val="clear" w:color="auto" w:fill="1F6FEB"/>
          </w:tcPr>
          <w:p>
            <w:r/>
            <w:r>
              <w:rPr>
                <w:b/>
                <w:color w:val="FFFFFF"/>
                <w:sz w:val="19"/>
              </w:rPr>
              <w:t>What happens</w:t>
            </w:r>
          </w:p>
        </w:tc>
      </w:tr>
      <w:tr>
        <w:tc>
          <w:tcPr>
            <w:tcW w:type="dxa" w:w="4320"/>
          </w:tcPr>
          <w:p>
            <w:r/>
            <w:r>
              <w:rPr>
                <w:b/>
                <w:sz w:val="19"/>
              </w:rPr>
              <w:t>1 · Context</w:t>
            </w:r>
          </w:p>
        </w:tc>
        <w:tc>
          <w:tcPr>
            <w:tcW w:type="dxa" w:w="4320"/>
          </w:tcPr>
          <w:p>
            <w:r/>
            <w:r>
              <w:rPr>
                <w:sz w:val="19"/>
              </w:rPr>
              <w:t>Everything the agent can see: the goal, its instructions, memory of the conversation, and what earlier tool calls returned.</w:t>
            </w:r>
          </w:p>
        </w:tc>
      </w:tr>
      <w:tr>
        <w:tc>
          <w:tcPr>
            <w:tcW w:type="dxa" w:w="4320"/>
          </w:tcPr>
          <w:p>
            <w:r/>
            <w:r>
              <w:rPr>
                <w:b/>
                <w:sz w:val="19"/>
              </w:rPr>
              <w:t>2 · Plan</w:t>
            </w:r>
          </w:p>
        </w:tc>
        <w:tc>
          <w:tcPr>
            <w:tcW w:type="dxa" w:w="4320"/>
          </w:tcPr>
          <w:p>
            <w:r/>
            <w:r>
              <w:rPr>
                <w:sz w:val="19"/>
              </w:rPr>
              <w:t>The LLM reasons over the context and chooses the next step — which tool to call, with what input, or whether it is finished.</w:t>
            </w:r>
          </w:p>
        </w:tc>
      </w:tr>
      <w:tr>
        <w:tc>
          <w:tcPr>
            <w:tcW w:type="dxa" w:w="4320"/>
          </w:tcPr>
          <w:p>
            <w:r/>
            <w:r>
              <w:rPr>
                <w:b/>
                <w:sz w:val="19"/>
              </w:rPr>
              <w:t>3 · Action</w:t>
            </w:r>
          </w:p>
        </w:tc>
        <w:tc>
          <w:tcPr>
            <w:tcW w:type="dxa" w:w="4320"/>
          </w:tcPr>
          <w:p>
            <w:r/>
            <w:r>
              <w:rPr>
                <w:sz w:val="19"/>
              </w:rPr>
              <w:t>The agent calls a tool: look up a record, write a row, send an email. This is where it acts on the world.</w:t>
            </w:r>
          </w:p>
        </w:tc>
      </w:tr>
      <w:tr>
        <w:tc>
          <w:tcPr>
            <w:tcW w:type="dxa" w:w="4320"/>
          </w:tcPr>
          <w:p>
            <w:r/>
            <w:r>
              <w:rPr>
                <w:b/>
                <w:sz w:val="19"/>
              </w:rPr>
              <w:t>4 · Verify and repeat</w:t>
            </w:r>
          </w:p>
        </w:tc>
        <w:tc>
          <w:tcPr>
            <w:tcW w:type="dxa" w:w="4320"/>
          </w:tcPr>
          <w:p>
            <w:r/>
            <w:r>
              <w:rPr>
                <w:sz w:val="19"/>
              </w:rPr>
              <w:t>The tool's result goes back into the context and is checked against the goal. Not done? Plan again. Done? Reply.</w:t>
            </w:r>
          </w:p>
        </w:tc>
      </w:tr>
    </w:tbl>
    <w:p/>
    <w:p>
      <w:r>
        <w:rPr>
          <w:b/>
          <w:color w:val="1F6FEB"/>
        </w:rPr>
        <w:t xml:space="preserve">Note: </w:t>
      </w:r>
      <w:r>
        <w:rPr>
          <w:sz w:val="20"/>
        </w:rPr>
        <w:t>Every turn of the loop is an LLM call — so cap it with Max Iterations on the AI Agent node, and log every step.</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AGENTIC AI is the broad category: any AI system that pursues a goal over many steps — it plans, acts through tools, checks the result and adapts. It is usually started by a person or a trigger and stops when the task is done; a Claude Code or Codex session, or an n8n workflow with AI steps, are agentic AI. AI AGENTS are a special type of agentic AI system that exists 24/7. They are usually installed in the cloud so they serve all the time, with no laptop needing to be open: they wait for events — messages, emails, webhooks, schedules — act on them around the clock, and keep their memory across conversations and days. OpenClaw, Hermes Agent and an n8n agent running on a cloud instance behind a webhook are AI agents. Every AI agent is agentic AI, but not every agentic AI is an AI agent — the difference is that an AI agent is always on.</w:t>
      </w:r>
    </w:p>
    <w:p>
      <w:r>
        <w:rPr>
          <w:b/>
          <w:color w:val="1F6FEB"/>
          <w:sz w:val="22"/>
        </w:rPr>
        <w:t>Workflow first vs agent first</w:t>
      </w:r>
    </w:p>
    <w:p>
      <w:r>
        <w:t>There are two ways to build agentic automation. WORKFLOW FIRST is the modern form of rule-based (RPA-style) automation: the workflow owns the path, and its steps can be ordinary nodes, AI nodes or even AI Agent nodes — exactly as in n8n, where an AI Agent node sits inside a workflow. AGENT FIRST hands the whole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Who decides the path</w:t>
            </w:r>
          </w:p>
        </w:tc>
        <w:tc>
          <w:tcPr>
            <w:tcW w:type="dxa" w:w="2880"/>
          </w:tcPr>
          <w:p>
            <w:r/>
            <w:r>
              <w:rPr>
                <w:sz w:val="19"/>
              </w:rPr>
              <w:t>The workflow — steps may be AI nodes or AI Agent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agent first is more efficient. Because reliability matters most in business, companies try to make as much of a process deterministic as possible. (Source: n8n, In The Loop 2026 opening keynote and product direction.)</w:t>
      </w:r>
    </w:p>
    <w:p>
      <w:r>
        <w:rPr>
          <w:b/>
          <w:color w:val="1F6FEB"/>
          <w:sz w:val="22"/>
        </w:rPr>
        <w:t>The trend: AI-assisted workflow creation</w:t>
      </w:r>
    </w:p>
    <w:p>
      <w:r>
        <w:t>AI-powered coding tools — n8n Assistant inside n8n, and Claude Code and Codex outside it — are AI agents themselves, and they have made designing, building and changing workflows fast and cheap. The trend is AI-ASSISTED WORKFLOW CREATION: describe the process in plain English, let the assistant draft the workflow, review and test it, and then let the deterministic workflow RUN the process, with AI and AI Agent nodes only where judgement is needed. The agent's efficiency goes into building; the workflow's determinism goes into running.</w:t>
      </w:r>
    </w:p>
    <w:p>
      <w:r>
        <w:rPr>
          <w:b/>
          <w:color w:val="1F6FEB"/>
          <w:sz w:val="22"/>
        </w:rPr>
        <w:t>n8n Assistant — describe it, n8n builds it</w:t>
      </w:r>
    </w:p>
    <w:p>
      <w:r>
        <w:t>Open Assistant in the left sidebar of n8n. At the prompt "What do you want to automate?" describe the workflow: what triggers it, which apps it uses, what data it reads and writes, what happens on success and on failure, and whether it should ask before publishing. n8n Assistant plans the workflow, builds it in your project, tests it and helps fix errors. The result is a normal n8n workflow that you open, inspect, edit, test and publish yourself. On n8n Cloud, Assistant chats use the plan's monthly Assistant credits; they are separate from the Gateway credits your workflow's AI nodes use when they run.</w:t>
      </w:r>
    </w:p>
    <w:p>
      <w:pPr>
        <w:jc w:val="center"/>
      </w:pPr>
      <w:r>
        <w:drawing>
          <wp:inline xmlns:a="http://schemas.openxmlformats.org/drawingml/2006/main" xmlns:pic="http://schemas.openxmlformats.org/drawingml/2006/picture">
            <wp:extent cx="5669280" cy="2721103"/>
            <wp:docPr id="3" name="Picture 3"/>
            <wp:cNvGraphicFramePr>
              <a:graphicFrameLocks noChangeAspect="1"/>
            </wp:cNvGraphicFramePr>
            <a:graphic>
              <a:graphicData uri="http://schemas.openxmlformats.org/drawingml/2006/picture">
                <pic:pic>
                  <pic:nvPicPr>
                    <pic:cNvPr id="0" name="n8n-assistant.png"/>
                    <pic:cNvPicPr/>
                  </pic:nvPicPr>
                  <pic:blipFill>
                    <a:blip r:embed="rId11"/>
                    <a:stretch>
                      <a:fillRect/>
                    </a:stretch>
                  </pic:blipFill>
                  <pic:spPr>
                    <a:xfrm>
                      <a:off x="0" y="0"/>
                      <a:ext cx="5669280" cy="2721103"/>
                    </a:xfrm>
                    <a:prstGeom prst="rect"/>
                  </pic:spPr>
                </pic:pic>
              </a:graphicData>
            </a:graphic>
          </wp:inline>
        </w:drawing>
      </w:r>
    </w:p>
    <w:p>
      <w:pPr>
        <w:jc w:val="center"/>
      </w:pPr>
      <w:r>
        <w:rPr>
          <w:i/>
          <w:color w:val="555B66"/>
          <w:sz w:val="18"/>
        </w:rPr>
        <w:t>n8n Assistant — "What do you want to automate?" Type a prompt, or start from a suggestion such as Score my leads or Schedule social posts.</w:t>
      </w:r>
    </w:p>
    <w:p>
      <w:r>
        <w:rPr>
          <w:b/>
          <w:color w:val="1F6FEB"/>
          <w:sz w:val="22"/>
        </w:rPr>
        <w:t>Sign in to n8n</w:t>
      </w:r>
    </w:p>
    <w:p>
      <w:r>
        <w:t>Each learner has one pre-created n8n Cloud account (n8n18oct1 to n8n18oct12@tertiaryinfotech.com); the trainer gives you yours and its password in class. The account name is the email prefix, onboarding is already complete, and each instance is a free 14-day trial that stays active through the training.</w:t>
      </w:r>
    </w:p>
    <w:p>
      <w:pPr>
        <w:pStyle w:val="ListNumber"/>
      </w:pPr>
      <w:r>
        <w:t>Go to https://app.n8n.cloud/login — or open your instance URL directly.</w:t>
      </w:r>
    </w:p>
    <w:p>
      <w:pPr>
        <w:pStyle w:val="ListNumber"/>
      </w:pPr>
      <w:r>
        <w:t>Enter your assigned account email, for example n8n18oct5@tertiaryinfotech.com.</w:t>
      </w:r>
    </w:p>
    <w:p>
      <w:pPr>
        <w:pStyle w:val="ListNumber"/>
      </w:pPr>
      <w:r>
        <w:t>Enter the password your trainer gives you.</w:t>
      </w:r>
    </w:p>
    <w:p>
      <w:pPr>
        <w:ind w:left="720"/>
      </w:pPr>
      <w:r>
        <w:rPr>
          <w:b/>
          <w:i/>
          <w:color w:val="B4760B"/>
          <w:sz w:val="19"/>
        </w:rPr>
        <w:t xml:space="preserve">Why this step: </w:t>
      </w:r>
      <w:r>
        <w:rPr>
          <w:i/>
          <w:color w:val="555B66"/>
          <w:sz w:val="19"/>
        </w:rPr>
        <w:t>Do not change it — the account is reused for later classes.</w:t>
      </w:r>
    </w:p>
    <w:p>
      <w:pPr>
        <w:pStyle w:val="ListNumber"/>
      </w:pPr>
      <w:r>
        <w:t>Open your instance from the dashboard.</w:t>
      </w:r>
    </w:p>
    <w:p>
      <w:pPr>
        <w:pStyle w:val="ListNumber"/>
      </w:pPr>
      <w:r>
        <w:t>You land in n8n. Open Assistant or Overview to start building.</w:t>
      </w:r>
    </w:p>
    <w:p>
      <w:r>
        <w:rPr>
          <w:b/>
          <w:color w:val="1F6FEB"/>
          <w:sz w:val="22"/>
        </w:rPr>
        <w:t>Claim your free AI credits</w:t>
      </w:r>
    </w:p>
    <w:p>
      <w:r>
        <w:t>The n8n Cloud free trial includes free Gateway credits, which let a node call a supported AI model without a provider account or API key.</w:t>
      </w:r>
    </w:p>
    <w:p>
      <w:pPr>
        <w:pStyle w:val="ListNumber"/>
      </w:pPr>
      <w:r>
        <w:t>Sign in to n8n Cloud with your training account.</w:t>
      </w:r>
    </w:p>
    <w:p>
      <w:pPr>
        <w:ind w:left="720"/>
      </w:pPr>
      <w:r>
        <w:rPr>
          <w:b/>
          <w:i/>
          <w:color w:val="B4760B"/>
          <w:sz w:val="19"/>
        </w:rPr>
        <w:t xml:space="preserve">Why this step: </w:t>
      </w:r>
      <w:r>
        <w:rPr>
          <w:i/>
          <w:color w:val="555B66"/>
          <w:sz w:val="19"/>
        </w:rPr>
        <w:t>The trial's credit balance belongs to that instance.</w:t>
      </w:r>
    </w:p>
    <w:p>
      <w:pPr>
        <w:pStyle w:val="ListNumber"/>
      </w:pPr>
      <w:r>
        <w:t>Open a workflow and add an AI node — for example an AI Agent with a Google Gemini or OpenAI Chat Model.</w:t>
      </w:r>
    </w:p>
    <w:p>
      <w:pPr>
        <w:pStyle w:val="ListNumber"/>
      </w:pPr>
      <w:r>
        <w:t>In the node's Credential field, select Use Gateway credits. The option shows your remaining balance.</w:t>
      </w:r>
    </w:p>
    <w:p>
      <w:pPr>
        <w:ind w:left="720"/>
      </w:pPr>
      <w:r>
        <w:rPr>
          <w:b/>
          <w:i/>
          <w:color w:val="B4760B"/>
          <w:sz w:val="19"/>
        </w:rPr>
        <w:t xml:space="preserve">Why this step: </w:t>
      </w:r>
      <w:r>
        <w:rPr>
          <w:i/>
          <w:color w:val="555B66"/>
          <w:sz w:val="19"/>
        </w:rPr>
        <w:t>No API key is pasted anywhere, so none can leak.</w:t>
      </w:r>
    </w:p>
    <w:p>
      <w:pPr>
        <w:pStyle w:val="ListNumber"/>
      </w:pPr>
      <w:r>
        <w:t>Pick a supported model, configure the rest of the node as usual, and run it.</w:t>
      </w:r>
    </w:p>
    <w:p>
      <w:pPr>
        <w:pStyle w:val="ListNumber"/>
      </w:pPr>
      <w:r>
        <w:t>Track the balance on the node, or in the Admin Panel under Gateway credits.</w:t>
      </w:r>
    </w:p>
    <w:p>
      <w:pPr>
        <w:ind w:left="720"/>
      </w:pPr>
      <w:r>
        <w:rPr>
          <w:b/>
          <w:i/>
          <w:color w:val="B4760B"/>
          <w:sz w:val="19"/>
        </w:rPr>
        <w:t xml:space="preserve">Why this step: </w:t>
      </w:r>
      <w:r>
        <w:rPr>
          <w:i/>
          <w:color w:val="555B66"/>
          <w:sz w:val="19"/>
        </w:rPr>
        <w:t>When the balance reaches zero, nodes on Gateway credits stop until credit is added or you switch to your own credential.</w:t>
      </w:r>
    </w:p>
    <w:p>
      <w:r>
        <w:rPr>
          <w:b/>
          <w:color w:val="1F6FEB"/>
        </w:rPr>
        <w:t xml:space="preserve">Note: </w:t>
      </w:r>
      <w:r>
        <w:rPr>
          <w:sz w:val="20"/>
        </w:rPr>
        <w:t>If a red toast reads "Free AI credits — Enable to claim credits", that is n8n's legacy one-time OpenAI offer, which is not issued to instances that have Gateway credits. Ignore it and use Use Gateway credits on the node instead.</w:t>
      </w:r>
    </w:p>
    <w:p>
      <w:r>
        <w:rPr>
          <w:b/>
          <w:color w:val="1F6FEB"/>
          <w:sz w:val="22"/>
        </w:rPr>
        <w:t>Demo: build a social media campaign workflow with n8n Assistant</w:t>
      </w:r>
    </w:p>
    <w:p>
      <w:r>
        <w:t>Paste this prompt into n8n Assistant:</w:t>
      </w:r>
    </w:p>
    <w:p>
      <w:r>
        <w:rPr>
          <w:rFonts w:ascii="Consolas" w:hAnsi="Consolas"/>
          <w:color w:val="0B3060"/>
          <w:sz w:val="19"/>
        </w:rPr>
        <w:t>Create a workflow for a social media marketing campaign:</w:t>
      </w:r>
    </w:p>
    <w:p>
      <w:r>
        <w:rPr>
          <w:rFonts w:ascii="Consolas" w:hAnsi="Consolas"/>
          <w:color w:val="0B3060"/>
          <w:sz w:val="19"/>
        </w:rPr>
        <w:t>1. Start from a form where I enter a campaign topic.</w:t>
      </w:r>
    </w:p>
    <w:p>
      <w:r>
        <w:rPr>
          <w:rFonts w:ascii="Consolas" w:hAnsi="Consolas"/>
          <w:color w:val="0B3060"/>
          <w:sz w:val="19"/>
        </w:rPr>
        <w:t>2. Research the topic on the web and summarise 3 key points.</w:t>
      </w:r>
    </w:p>
    <w:p>
      <w:r>
        <w:rPr>
          <w:rFonts w:ascii="Consolas" w:hAnsi="Consolas"/>
          <w:color w:val="0B3060"/>
          <w:sz w:val="19"/>
        </w:rPr>
        <w:t>3. Draft a LinkedIn post under 150 words from the research.</w:t>
      </w:r>
    </w:p>
    <w:p>
      <w:r>
        <w:rPr>
          <w:rFonts w:ascii="Consolas" w:hAnsi="Consolas"/>
          <w:color w:val="0B3060"/>
          <w:sz w:val="19"/>
        </w:rPr>
        <w:t>4. Email me the draft and wait for my approval before posting.</w:t>
      </w:r>
    </w:p>
    <w:p>
      <w:r>
        <w:rPr>
          <w:rFonts w:ascii="Consolas" w:hAnsi="Consolas"/>
          <w:color w:val="0B3060"/>
          <w:sz w:val="19"/>
        </w:rPr>
        <w:t>5. If approved, schedule the post for 9am the next weekday;</w:t>
      </w:r>
    </w:p>
    <w:p>
      <w:r>
        <w:rPr>
          <w:rFonts w:ascii="Consolas" w:hAnsi="Consolas"/>
          <w:color w:val="0B3060"/>
          <w:sz w:val="19"/>
        </w:rPr>
        <w:t xml:space="preserve">    if rejected, log my feedback in a Google Sheet.</w:t>
      </w:r>
    </w:p>
    <w:p>
      <w:r>
        <w:rPr>
          <w:rFonts w:ascii="Consolas" w:hAnsi="Consolas"/>
          <w:color w:val="0B3060"/>
          <w:sz w:val="19"/>
        </w:rPr>
        <w:t>Use Gateway credits for the AI model. Ask me before publishing.</w:t>
      </w:r>
    </w:p>
    <w:p>
      <w:r>
        <w:t>n8n Assistant plans and builds a five-stage workflow: a Form Trigger where you enter the topic; an AI Agent with a web-search tool that researches it; an AI step that drafts the post; a human-in-the-loop approval (Gmail Send and Wait for Response) so nothing is posted unchecked; and a Wait plus the social node that schedules and publishes the approved post, with rejections logged to a Google Sheet. Then review the plan before it builds, connect Gmail and the social account when it asks, test with a real topic and approve the draft, and publish only when the run looks right. The AI built the workflow; the workflow runs it.</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Workflow first vs agent first — AI security</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Tier</w:t>
            </w:r>
          </w:p>
        </w:tc>
        <w:tc>
          <w:tcPr>
            <w:tcW w:type="dxa" w:w="2160"/>
            <w:shd w:val="clear" w:color="auto" w:fill="1F6FEB"/>
          </w:tcPr>
          <w:p>
            <w:r/>
            <w:r>
              <w:rPr>
                <w:b/>
                <w:color w:val="FFFFFF"/>
                <w:sz w:val="19"/>
              </w:rPr>
              <w:t>How you build</w:t>
            </w:r>
          </w:p>
        </w:tc>
        <w:tc>
          <w:tcPr>
            <w:tcW w:type="dxa" w:w="2160"/>
            <w:shd w:val="clear" w:color="auto" w:fill="1F6FEB"/>
          </w:tcPr>
          <w:p>
            <w:r/>
            <w:r>
              <w:rPr>
                <w:b/>
                <w:color w:val="FFFFFF"/>
                <w:sz w:val="19"/>
              </w:rPr>
              <w:t>Customisation</w:t>
            </w:r>
          </w:p>
        </w:tc>
        <w:tc>
          <w:tcPr>
            <w:tcW w:type="dxa" w:w="2160"/>
            <w:shd w:val="clear" w:color="auto" w:fill="1F6FEB"/>
          </w:tcPr>
          <w:p>
            <w:r/>
            <w:r>
              <w:rPr>
                <w:b/>
                <w:color w:val="FFFFFF"/>
                <w:sz w:val="19"/>
              </w:rPr>
              <w:t>Examples</w:t>
            </w:r>
          </w:p>
        </w:tc>
      </w:tr>
      <w:tr>
        <w:tc>
          <w:tcPr>
            <w:tcW w:type="dxa" w:w="2160"/>
          </w:tcPr>
          <w:p>
            <w:r/>
            <w:r>
              <w:rPr>
                <w:b/>
                <w:sz w:val="19"/>
              </w:rPr>
              <w:t>No-code</w:t>
            </w:r>
          </w:p>
        </w:tc>
        <w:tc>
          <w:tcPr>
            <w:tcW w:type="dxa" w:w="2160"/>
          </w:tcPr>
          <w:p>
            <w:r/>
            <w:r>
              <w:rPr>
                <w:sz w:val="19"/>
              </w:rPr>
              <w:t>Drag and drop in a fully visual builder</w:t>
            </w:r>
          </w:p>
        </w:tc>
        <w:tc>
          <w:tcPr>
            <w:tcW w:type="dxa" w:w="2160"/>
          </w:tcPr>
          <w:p>
            <w:r/>
            <w:r>
              <w:rPr>
                <w:sz w:val="19"/>
              </w:rPr>
              <w:t>Lowest — fastest to a working agent, least control</w:t>
            </w:r>
          </w:p>
        </w:tc>
        <w:tc>
          <w:tcPr>
            <w:tcW w:type="dxa" w:w="2160"/>
          </w:tcPr>
          <w:p>
            <w:r/>
            <w:r>
              <w:rPr>
                <w:sz w:val="19"/>
              </w:rPr>
              <w:t>AgentX and similar chatbot builders</w:t>
            </w:r>
          </w:p>
        </w:tc>
      </w:tr>
      <w:tr>
        <w:tc>
          <w:tcPr>
            <w:tcW w:type="dxa" w:w="2160"/>
          </w:tcPr>
          <w:p>
            <w:r/>
            <w:r>
              <w:rPr>
                <w:b/>
                <w:sz w:val="19"/>
              </w:rPr>
              <w:t>Low-code</w:t>
            </w:r>
          </w:p>
        </w:tc>
        <w:tc>
          <w:tcPr>
            <w:tcW w:type="dxa" w:w="2160"/>
          </w:tcPr>
          <w:p>
            <w:r/>
            <w:r>
              <w:rPr>
                <w:sz w:val="19"/>
              </w:rPr>
              <w:t>AI-assisted: n8n Assistant, Claude Code or Codex drafts the workflow on a visual canvas; add JavaScript or Python in Code nodes where needed</w:t>
            </w:r>
          </w:p>
        </w:tc>
        <w:tc>
          <w:tcPr>
            <w:tcW w:type="dxa" w:w="2160"/>
          </w:tcPr>
          <w:p>
            <w:r/>
            <w:r>
              <w:rPr>
                <w:sz w:val="19"/>
              </w:rPr>
              <w:t>High — 400+ integrations, self-host or cloud</w:t>
            </w:r>
          </w:p>
        </w:tc>
        <w:tc>
          <w:tcPr>
            <w:tcW w:type="dxa" w:w="2160"/>
          </w:tcPr>
          <w:p>
            <w:r/>
            <w:r>
              <w:rPr>
                <w:sz w:val="19"/>
              </w:rPr>
              <w:t>n8n — this course's platform</w:t>
            </w:r>
          </w:p>
        </w:tc>
      </w:tr>
      <w:tr>
        <w:tc>
          <w:tcPr>
            <w:tcW w:type="dxa" w:w="2160"/>
          </w:tcPr>
          <w:p>
            <w:r/>
            <w:r>
              <w:rPr>
                <w:b/>
                <w:sz w:val="19"/>
              </w:rPr>
              <w:t>Full-code</w:t>
            </w:r>
          </w:p>
        </w:tc>
        <w:tc>
          <w:tcPr>
            <w:tcW w:type="dxa" w:w="2160"/>
          </w:tcPr>
          <w:p>
            <w:r/>
            <w:r>
              <w:rPr>
                <w:sz w:val="19"/>
              </w:rPr>
              <w:t>AI generates the code: Claude Code or Codex write it instead of coding by hand</w:t>
            </w:r>
          </w:p>
        </w:tc>
        <w:tc>
          <w:tcPr>
            <w:tcW w:type="dxa" w:w="2160"/>
          </w:tcPr>
          <w:p>
            <w:r/>
            <w:r>
              <w:rPr>
                <w:sz w:val="19"/>
              </w:rPr>
              <w:t>Highest — the most customisable tier</w:t>
            </w:r>
          </w:p>
        </w:tc>
        <w:tc>
          <w:tcPr>
            <w:tcW w:type="dxa" w:w="2160"/>
          </w:tcPr>
          <w:p>
            <w:r/>
            <w:r>
              <w:rPr>
                <w:sz w:val="19"/>
              </w:rPr>
              <w:t>LangChain and agent SDKs</w:t>
            </w:r>
          </w:p>
        </w:tc>
      </w:tr>
    </w:tbl>
    <w:p/>
    <w:p>
      <w:r>
        <w:t>AI now assists every tier. In low-code it drafts the workflow, and low-code platforms let you drop into JavaScript or Python when a built-in node is not enough. In full-code the AI writes the code itself rather than a developer coding it manually — full code remains the most customisable option, at the cost of the most engineering effort to test and run.</w:t>
      </w:r>
    </w:p>
    <w:p>
      <w:pPr>
        <w:pStyle w:val="Heading2"/>
      </w:pPr>
      <w:r>
        <w:t>Key Concepts for Lab 1 — n8n Trigger and Action</w:t>
      </w:r>
    </w:p>
    <w:p>
      <w:pPr>
        <w:pStyle w:val="ListBullet"/>
      </w:pPr>
      <w:r>
        <w:rPr>
          <w:b/>
        </w:rPr>
        <w:t xml:space="preserve">What is n8n — </w:t>
      </w:r>
      <w:r>
        <w:t>n8n is a fair-code, workflow-first agentic AI platform: the workflow owns the path, and AI and AI Agent nodes sit inside it.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47–55.</w:t>
      </w:r>
    </w:p>
    <w:p>
      <w:r>
        <w:rPr>
          <w:b/>
          <w:color w:val="1F6FEB"/>
          <w:sz w:val="22"/>
        </w:rPr>
        <w:t>Goal</w:t>
      </w:r>
    </w:p>
    <w:p>
      <w:r>
        <w:t>Build your first n8n workflow end to end. An n8n Form Trigger collects a visitor's details, and a Gmail action emails them to the event administrator. You then PUBLISH the workflow, copy the form's Production URL, turn it into a QR code and place it on an event flyer, so anyone can sign up by scanning it with a phone.</w:t>
      </w:r>
    </w:p>
    <w:p>
      <w:r>
        <w:rPr>
          <w:b/>
          <w:color w:val="1F6FEB"/>
          <w:sz w:val="22"/>
        </w:rPr>
        <w:t>What you'll build</w:t>
      </w:r>
    </w:p>
    <w:p>
      <w:r>
        <w:t>Form Trigger  →  Gmail (Send a message)  →  Publish  →  QR-code flyer   (Tools: n8n Form Trigger, Gmail (OAuth2), Smart QR Code Generator.)</w:t>
      </w:r>
    </w:p>
    <w:p>
      <w:pPr>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site-lab1.png"/>
                    <pic:cNvPicPr/>
                  </pic:nvPicPr>
                  <pic:blipFill>
                    <a:blip r:embed="rId12"/>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5" name="Picture 5"/>
            <wp:cNvGraphicFramePr>
              <a:graphicFrameLocks noChangeAspect="1"/>
            </wp:cNvGraphicFramePr>
            <a:graphic>
              <a:graphicData uri="http://schemas.openxmlformats.org/drawingml/2006/picture">
                <pic:pic>
                  <pic:nvPicPr>
                    <pic:cNvPr id="0" name="canvas-lab1.png"/>
                    <pic:cNvPicPr/>
                  </pic:nvPicPr>
                  <pic:blipFill>
                    <a:blip r:embed="rId13"/>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Key screens</w:t>
      </w:r>
    </w:p>
    <w:p>
      <w:pPr>
        <w:jc w:val="center"/>
      </w:pPr>
      <w:r>
        <w:drawing>
          <wp:inline xmlns:a="http://schemas.openxmlformats.org/drawingml/2006/main" xmlns:pic="http://schemas.openxmlformats.org/drawingml/2006/picture">
            <wp:extent cx="5669280" cy="4243318"/>
            <wp:docPr id="6" name="Picture 6"/>
            <wp:cNvGraphicFramePr>
              <a:graphicFrameLocks noChangeAspect="1"/>
            </wp:cNvGraphicFramePr>
            <a:graphic>
              <a:graphicData uri="http://schemas.openxmlformats.org/drawingml/2006/picture">
                <pic:pic>
                  <pic:nvPicPr>
                    <pic:cNvPr id="0" name="lab1-add-trigger.png"/>
                    <pic:cNvPicPr/>
                  </pic:nvPicPr>
                  <pic:blipFill>
                    <a:blip r:embed="rId14"/>
                    <a:stretch>
                      <a:fillRect/>
                    </a:stretch>
                  </pic:blipFill>
                  <pic:spPr>
                    <a:xfrm>
                      <a:off x="0" y="0"/>
                      <a:ext cx="5669280" cy="4243318"/>
                    </a:xfrm>
                    <a:prstGeom prst="rect"/>
                  </pic:spPr>
                </pic:pic>
              </a:graphicData>
            </a:graphic>
          </wp:inline>
        </w:drawing>
      </w:r>
    </w:p>
    <w:p>
      <w:pPr>
        <w:jc w:val="center"/>
      </w:pPr>
      <w:r>
        <w:rPr>
          <w:i/>
          <w:color w:val="555B66"/>
          <w:sz w:val="18"/>
        </w:rPr>
        <w:t>Step 1: Add the n8n Form Trigger</w:t>
      </w:r>
    </w:p>
    <w:p>
      <w:pPr>
        <w:jc w:val="center"/>
      </w:pPr>
      <w:r>
        <w:drawing>
          <wp:inline xmlns:a="http://schemas.openxmlformats.org/drawingml/2006/main" xmlns:pic="http://schemas.openxmlformats.org/drawingml/2006/picture">
            <wp:extent cx="5669280" cy="5883504"/>
            <wp:docPr id="7" name="Picture 7"/>
            <wp:cNvGraphicFramePr>
              <a:graphicFrameLocks noChangeAspect="1"/>
            </wp:cNvGraphicFramePr>
            <a:graphic>
              <a:graphicData uri="http://schemas.openxmlformats.org/drawingml/2006/picture">
                <pic:pic>
                  <pic:nvPicPr>
                    <pic:cNvPr id="0" name="lab1-form-trigger.png"/>
                    <pic:cNvPicPr/>
                  </pic:nvPicPr>
                  <pic:blipFill>
                    <a:blip r:embed="rId15"/>
                    <a:stretch>
                      <a:fillRect/>
                    </a:stretch>
                  </pic:blipFill>
                  <pic:spPr>
                    <a:xfrm>
                      <a:off x="0" y="0"/>
                      <a:ext cx="5669280" cy="5883504"/>
                    </a:xfrm>
                    <a:prstGeom prst="rect"/>
                  </pic:spPr>
                </pic:pic>
              </a:graphicData>
            </a:graphic>
          </wp:inline>
        </w:drawing>
      </w:r>
    </w:p>
    <w:p>
      <w:pPr>
        <w:jc w:val="center"/>
      </w:pPr>
      <w:r>
        <w:rPr>
          <w:i/>
          <w:color w:val="555B66"/>
          <w:sz w:val="18"/>
        </w:rPr>
        <w:t>Step 1: Add the n8n Form Trigger. Click Add first step (+), search 'form' and choose n8n Form → On new n8n Form event. Then add the Name, Email, Phone and Message fields.</w:t>
      </w:r>
    </w:p>
    <w:p>
      <w:pPr>
        <w:jc w:val="center"/>
      </w:pPr>
      <w:r>
        <w:drawing>
          <wp:inline xmlns:a="http://schemas.openxmlformats.org/drawingml/2006/main" xmlns:pic="http://schemas.openxmlformats.org/drawingml/2006/picture">
            <wp:extent cx="5669280" cy="7528860"/>
            <wp:docPr id="8" name="Picture 8"/>
            <wp:cNvGraphicFramePr>
              <a:graphicFrameLocks noChangeAspect="1"/>
            </wp:cNvGraphicFramePr>
            <a:graphic>
              <a:graphicData uri="http://schemas.openxmlformats.org/drawingml/2006/picture">
                <pic:pic>
                  <pic:nvPicPr>
                    <pic:cNvPr id="0" name="lab1-gmail-actions.png"/>
                    <pic:cNvPicPr/>
                  </pic:nvPicPr>
                  <pic:blipFill>
                    <a:blip r:embed="rId16"/>
                    <a:stretch>
                      <a:fillRect/>
                    </a:stretch>
                  </pic:blipFill>
                  <pic:spPr>
                    <a:xfrm>
                      <a:off x="0" y="0"/>
                      <a:ext cx="5669280" cy="7528860"/>
                    </a:xfrm>
                    <a:prstGeom prst="rect"/>
                  </pic:spPr>
                </pic:pic>
              </a:graphicData>
            </a:graphic>
          </wp:inline>
        </w:drawing>
      </w:r>
    </w:p>
    <w:p>
      <w:pPr>
        <w:jc w:val="center"/>
      </w:pPr>
      <w:r>
        <w:rPr>
          <w:i/>
          <w:color w:val="555B66"/>
          <w:sz w:val="18"/>
        </w:rPr>
        <w:t>Step 2: Gmail — Send a Message with Expressions</w:t>
      </w:r>
    </w:p>
    <w:p>
      <w:pPr>
        <w:jc w:val="center"/>
      </w:pPr>
      <w:r>
        <w:drawing>
          <wp:inline xmlns:a="http://schemas.openxmlformats.org/drawingml/2006/main" xmlns:pic="http://schemas.openxmlformats.org/drawingml/2006/picture">
            <wp:extent cx="5669280" cy="2788577"/>
            <wp:docPr id="9" name="Picture 9"/>
            <wp:cNvGraphicFramePr>
              <a:graphicFrameLocks noChangeAspect="1"/>
            </wp:cNvGraphicFramePr>
            <a:graphic>
              <a:graphicData uri="http://schemas.openxmlformats.org/drawingml/2006/picture">
                <pic:pic>
                  <pic:nvPicPr>
                    <pic:cNvPr id="0" name="lab1-gmail-expression.png"/>
                    <pic:cNvPicPr/>
                  </pic:nvPicPr>
                  <pic:blipFill>
                    <a:blip r:embed="rId17"/>
                    <a:stretch>
                      <a:fillRect/>
                    </a:stretch>
                  </pic:blipFill>
                  <pic:spPr>
                    <a:xfrm>
                      <a:off x="0" y="0"/>
                      <a:ext cx="5669280" cy="2788577"/>
                    </a:xfrm>
                    <a:prstGeom prst="rect"/>
                  </pic:spPr>
                </pic:pic>
              </a:graphicData>
            </a:graphic>
          </wp:inline>
        </w:drawing>
      </w:r>
    </w:p>
    <w:p>
      <w:pPr>
        <w:jc w:val="center"/>
      </w:pPr>
      <w:r>
        <w:rPr>
          <w:i/>
          <w:color w:val="555B66"/>
          <w:sz w:val="18"/>
        </w:rPr>
        <w:t>Step 2: Gmail — Send a Message with Expressions. Add Gmail → Send a message. Switch Message to Expression and drag in the form fields — the Result panel previews the email before you run it.</w:t>
      </w:r>
    </w:p>
    <w:p>
      <w:pPr>
        <w:jc w:val="center"/>
      </w:pPr>
      <w:r>
        <w:drawing>
          <wp:inline xmlns:a="http://schemas.openxmlformats.org/drawingml/2006/main" xmlns:pic="http://schemas.openxmlformats.org/drawingml/2006/picture">
            <wp:extent cx="5669280" cy="8507787"/>
            <wp:docPr id="10" name="Picture 10"/>
            <wp:cNvGraphicFramePr>
              <a:graphicFrameLocks noChangeAspect="1"/>
            </wp:cNvGraphicFramePr>
            <a:graphic>
              <a:graphicData uri="http://schemas.openxmlformats.org/drawingml/2006/picture">
                <pic:pic>
                  <pic:nvPicPr>
                    <pic:cNvPr id="0" name="lab1-flyer-learner1.png"/>
                    <pic:cNvPicPr/>
                  </pic:nvPicPr>
                  <pic:blipFill>
                    <a:blip r:embed="rId18"/>
                    <a:stretch>
                      <a:fillRect/>
                    </a:stretch>
                  </pic:blipFill>
                  <pic:spPr>
                    <a:xfrm>
                      <a:off x="0" y="0"/>
                      <a:ext cx="5669280" cy="8507787"/>
                    </a:xfrm>
                    <a:prstGeom prst="rect"/>
                  </pic:spPr>
                </pic:pic>
              </a:graphicData>
            </a:graphic>
          </wp:inline>
        </w:drawing>
      </w:r>
    </w:p>
    <w:p>
      <w:pPr>
        <w:jc w:val="center"/>
      </w:pPr>
      <w:r>
        <w:rPr>
          <w:i/>
          <w:color w:val="555B66"/>
          <w:sz w:val="18"/>
        </w:rPr>
        <w:t>Flyers from Previous Learners</w:t>
      </w:r>
    </w:p>
    <w:p>
      <w:pPr>
        <w:jc w:val="center"/>
      </w:pPr>
      <w:r>
        <w:drawing>
          <wp:inline xmlns:a="http://schemas.openxmlformats.org/drawingml/2006/main" xmlns:pic="http://schemas.openxmlformats.org/drawingml/2006/picture">
            <wp:extent cx="5669280" cy="8015692"/>
            <wp:docPr id="11" name="Picture 11"/>
            <wp:cNvGraphicFramePr>
              <a:graphicFrameLocks noChangeAspect="1"/>
            </wp:cNvGraphicFramePr>
            <a:graphic>
              <a:graphicData uri="http://schemas.openxmlformats.org/drawingml/2006/picture">
                <pic:pic>
                  <pic:nvPicPr>
                    <pic:cNvPr id="0" name="lab1-flyer-learner2.png"/>
                    <pic:cNvPicPr/>
                  </pic:nvPicPr>
                  <pic:blipFill>
                    <a:blip r:embed="rId19"/>
                    <a:stretch>
                      <a:fillRect/>
                    </a:stretch>
                  </pic:blipFill>
                  <pic:spPr>
                    <a:xfrm>
                      <a:off x="0" y="0"/>
                      <a:ext cx="5669280" cy="8015692"/>
                    </a:xfrm>
                    <a:prstGeom prst="rect"/>
                  </pic:spPr>
                </pic:pic>
              </a:graphicData>
            </a:graphic>
          </wp:inline>
        </w:drawing>
      </w:r>
    </w:p>
    <w:p>
      <w:pPr>
        <w:jc w:val="center"/>
      </w:pPr>
      <w:r>
        <w:rPr>
          <w:i/>
          <w:color w:val="555B66"/>
          <w:sz w:val="18"/>
        </w:rPr>
        <w:t>Flyers from Previous Learners</w:t>
      </w:r>
    </w:p>
    <w:p>
      <w:pPr>
        <w:jc w:val="center"/>
      </w:pPr>
      <w:r>
        <w:drawing>
          <wp:inline xmlns:a="http://schemas.openxmlformats.org/drawingml/2006/main" xmlns:pic="http://schemas.openxmlformats.org/drawingml/2006/picture">
            <wp:extent cx="5669280" cy="8507787"/>
            <wp:docPr id="12" name="Picture 12"/>
            <wp:cNvGraphicFramePr>
              <a:graphicFrameLocks noChangeAspect="1"/>
            </wp:cNvGraphicFramePr>
            <a:graphic>
              <a:graphicData uri="http://schemas.openxmlformats.org/drawingml/2006/picture">
                <pic:pic>
                  <pic:nvPicPr>
                    <pic:cNvPr id="0" name="lab1-flyer-learner3.png"/>
                    <pic:cNvPicPr/>
                  </pic:nvPicPr>
                  <pic:blipFill>
                    <a:blip r:embed="rId20"/>
                    <a:stretch>
                      <a:fillRect/>
                    </a:stretch>
                  </pic:blipFill>
                  <pic:spPr>
                    <a:xfrm>
                      <a:off x="0" y="0"/>
                      <a:ext cx="5669280" cy="8507787"/>
                    </a:xfrm>
                    <a:prstGeom prst="rect"/>
                  </pic:spPr>
                </pic:pic>
              </a:graphicData>
            </a:graphic>
          </wp:inline>
        </w:drawing>
      </w:r>
    </w:p>
    <w:p>
      <w:pPr>
        <w:jc w:val="center"/>
      </w:pPr>
      <w:r>
        <w:rPr>
          <w:i/>
          <w:color w:val="555B66"/>
          <w:sz w:val="18"/>
        </w:rPr>
        <w:t>Flyers from Previous Learners</w:t>
      </w:r>
    </w:p>
    <w:p>
      <w:pPr>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site-lab1-flyer.png"/>
                    <pic:cNvPicPr/>
                  </pic:nvPicPr>
                  <pic:blipFill>
                    <a:blip r:embed="rId21"/>
                    <a:stretch>
                      <a:fillRect/>
                    </a:stretch>
                  </pic:blipFill>
                  <pic:spPr>
                    <a:xfrm>
                      <a:off x="0" y="0"/>
                      <a:ext cx="5669280" cy="3188970"/>
                    </a:xfrm>
                    <a:prstGeom prst="rect"/>
                  </pic:spPr>
                </pic:pic>
              </a:graphicData>
            </a:graphic>
          </wp:inline>
        </w:drawing>
      </w:r>
    </w:p>
    <w:p>
      <w:pPr>
        <w:jc w:val="center"/>
      </w:pPr>
      <w:r>
        <w:rPr>
          <w:i/>
          <w:color w:val="555B66"/>
          <w:sz w:val="18"/>
        </w:rPr>
        <w:t>Flyers from Previous Learners. Each QR code encodes the form's Production URL — scan it, register, and the event administrator receives the details by email.</w:t>
      </w:r>
    </w:p>
    <w:p>
      <w:pPr>
        <w:jc w:val="center"/>
      </w:pPr>
      <w:r>
        <w:drawing>
          <wp:inline xmlns:a="http://schemas.openxmlformats.org/drawingml/2006/main" xmlns:pic="http://schemas.openxmlformats.org/drawingml/2006/picture">
            <wp:extent cx="5669280" cy="3164167"/>
            <wp:docPr id="14" name="Picture 14"/>
            <wp:cNvGraphicFramePr>
              <a:graphicFrameLocks noChangeAspect="1"/>
            </wp:cNvGraphicFramePr>
            <a:graphic>
              <a:graphicData uri="http://schemas.openxmlformats.org/drawingml/2006/picture">
                <pic:pic>
                  <pic:nvPicPr>
                    <pic:cNvPr id="0" name="n8n-import-from-file.png"/>
                    <pic:cNvPicPr/>
                  </pic:nvPicPr>
                  <pic:blipFill>
                    <a:blip r:embed="rId22"/>
                    <a:stretch>
                      <a:fillRect/>
                    </a:stretch>
                  </pic:blipFill>
                  <pic:spPr>
                    <a:xfrm>
                      <a:off x="0" y="0"/>
                      <a:ext cx="5669280" cy="3164167"/>
                    </a:xfrm>
                    <a:prstGeom prst="rect"/>
                  </pic:spPr>
                </pic:pic>
              </a:graphicData>
            </a:graphic>
          </wp:inline>
        </w:drawing>
      </w:r>
    </w:p>
    <w:p>
      <w:pPr>
        <w:jc w:val="center"/>
      </w:pPr>
      <w:r>
        <w:rPr>
          <w:i/>
          <w:color w:val="555B66"/>
          <w:sz w:val="18"/>
        </w:rPr>
        <w:t>Compare with the Reference Solution. Create a NEW workflow, open the '...' menu → Import → From File and pick Lab 1 - Event Flyer with QR Code.json, so your own build is not overwritten.</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Click Publish at the top right of the editor to make the workflow live.</w:t>
      </w:r>
    </w:p>
    <w:p>
      <w:pPr>
        <w:ind w:left="720"/>
      </w:pPr>
      <w:r>
        <w:rPr>
          <w:b/>
          <w:i/>
          <w:color w:val="B4760B"/>
          <w:sz w:val="19"/>
        </w:rPr>
        <w:t xml:space="preserve">Why this step: </w:t>
      </w:r>
      <w:r>
        <w:rPr>
          <w:i/>
          <w:color w:val="555B66"/>
          <w:sz w:val="19"/>
        </w:rPr>
        <w:t>Until the workflow is published only the Test URL works, and it answers exactly one submission while you are watching.</w:t>
      </w:r>
    </w:p>
    <w:p>
      <w:pPr>
        <w:pStyle w:val="ListNumber"/>
      </w:pPr>
      <w:r>
        <w:t>Open the Form Trigger node, switch the form URL from Test URL to Production URL, and copy it.</w:t>
      </w:r>
    </w:p>
    <w:p>
      <w:pPr>
        <w:ind w:left="720"/>
      </w:pPr>
      <w:r>
        <w:rPr>
          <w:b/>
          <w:i/>
          <w:color w:val="B4760B"/>
          <w:sz w:val="19"/>
        </w:rPr>
        <w:t xml:space="preserve">Why this step: </w:t>
      </w:r>
      <w:r>
        <w:rPr>
          <w:i/>
          <w:color w:val="555B66"/>
          <w:sz w:val="19"/>
        </w:rPr>
        <w:t>The Production URL is the one that works for everyone, from any phone, at any time — it is what the QR code must open.</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Design an event flyer (for example a recruitment fair, a charity day or a networking evening) in Canva, PowerPoint or an AI image tool, and place the QR code on it with a clear 'Scan to register' call-to-action.</w:t>
      </w:r>
    </w:p>
    <w:p>
      <w:pPr>
        <w:ind w:left="720"/>
      </w:pPr>
      <w:r>
        <w:rPr>
          <w:b/>
          <w:i/>
          <w:color w:val="B4760B"/>
          <w:sz w:val="19"/>
        </w:rPr>
        <w:t xml:space="preserve">Why this step: </w:t>
      </w:r>
      <w:r>
        <w:rPr>
          <w:i/>
          <w:color w:val="555B66"/>
          <w:sz w:val="19"/>
        </w:rPr>
        <w:t>A QR code without a call-to-action is just decoration — tell people what scanning it does.</w:t>
      </w:r>
    </w:p>
    <w:p>
      <w:pPr>
        <w:pStyle w:val="ListNumber"/>
      </w:pPr>
      <w:r>
        <w:t>Group activity: present your flyer to the class. Classmates scan the QR code and register, and you confirm each sign-up arrives in the administrator's inbox.</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 1 - Event Flyer with QR Code.json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published.</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Key Concepts for Lab 2 — Webhook and AI Agent</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Popular LLM providers — </w:t>
      </w:r>
      <w:r>
        <w:t>Any chat model plugs into the same AI Agent node, so you can swap the brain and keep the agent. This course uses Google Gemini (Flash), which also supplies the embeddings in Lab 5. n8n loads each provider's live model list into the chat-model node, so new models appear as soon as they ship. As of October 2026 the leading options are Google Gemini 4 Argon, Gemini 3.8 Flash and Gemini 3.1 Pro; OpenAI GPT-6 Astra, GPT-6.1 Sol and GPT-6 Luna (GPT-5.x remains in the API); Anthropic Claude Opus 5.5, Sonnet 5.5 and Haiku 5.5; Meta Llama 4 (open weights, self-hostable); and Mistral Large 4 and Medium 3.5. Pick by task: small fast models for classification and guardrails, larger models for reasoning.</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published (Publish, top right), is always on, accepts unlimited calls, and logs its runs under Executions rather than drawing them on the canvas. Your website must call the Production URL of a published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77–81.</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How the building blocks fit together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Building block</w:t>
            </w:r>
          </w:p>
        </w:tc>
        <w:tc>
          <w:tcPr>
            <w:tcW w:type="dxa" w:w="2880"/>
            <w:shd w:val="clear" w:color="auto" w:fill="1F6FEB"/>
          </w:tcPr>
          <w:p>
            <w:r/>
            <w:r>
              <w:rPr>
                <w:b/>
                <w:color w:val="FFFFFF"/>
                <w:sz w:val="19"/>
              </w:rPr>
              <w:t>In this lab</w:t>
            </w:r>
          </w:p>
        </w:tc>
        <w:tc>
          <w:tcPr>
            <w:tcW w:type="dxa" w:w="2880"/>
            <w:shd w:val="clear" w:color="auto" w:fill="1F6FEB"/>
          </w:tcPr>
          <w:p>
            <w:r/>
            <w:r>
              <w:rPr>
                <w:b/>
                <w:color w:val="FFFFFF"/>
                <w:sz w:val="19"/>
              </w:rPr>
              <w:t>Why it matters</w:t>
            </w:r>
          </w:p>
        </w:tc>
      </w:tr>
      <w:tr>
        <w:tc>
          <w:tcPr>
            <w:tcW w:type="dxa" w:w="2880"/>
          </w:tcPr>
          <w:p>
            <w:r/>
            <w:r>
              <w:rPr>
                <w:b/>
                <w:sz w:val="19"/>
              </w:rPr>
              <w:t>Webhook</w:t>
            </w:r>
          </w:p>
        </w:tc>
        <w:tc>
          <w:tcPr>
            <w:tcW w:type="dxa" w:w="2880"/>
          </w:tcPr>
          <w:p>
            <w:r/>
            <w:r>
              <w:rPr>
                <w:sz w:val="19"/>
              </w:rPr>
              <w:t>Onboarding Webhook — POST /marina-trust-onboarding</w:t>
            </w:r>
          </w:p>
        </w:tc>
        <w:tc>
          <w:tcPr>
            <w:tcW w:type="dxa" w:w="2880"/>
          </w:tcPr>
          <w:p>
            <w:r/>
            <w:r>
              <w:rPr>
                <w:sz w:val="19"/>
              </w:rPr>
              <w:t>The bank website's front door; Respond to Website returns the decision</w:t>
            </w:r>
          </w:p>
        </w:tc>
      </w:tr>
      <w:tr>
        <w:tc>
          <w:tcPr>
            <w:tcW w:type="dxa" w:w="2880"/>
          </w:tcPr>
          <w:p>
            <w:r/>
            <w:r>
              <w:rPr>
                <w:b/>
                <w:sz w:val="19"/>
              </w:rPr>
              <w:t>AI Agent</w:t>
            </w:r>
          </w:p>
        </w:tc>
        <w:tc>
          <w:tcPr>
            <w:tcW w:type="dxa" w:w="2880"/>
          </w:tcPr>
          <w:p>
            <w:r/>
            <w:r>
              <w:rPr>
                <w:sz w:val="19"/>
              </w:rPr>
              <w:t>Onboarding AI Agent</w:t>
            </w:r>
          </w:p>
        </w:tc>
        <w:tc>
          <w:tcPr>
            <w:tcW w:type="dxa" w:w="2880"/>
          </w:tcPr>
          <w:p>
            <w:r/>
            <w:r>
              <w:rPr>
                <w:sz w:val="19"/>
              </w:rPr>
              <w:t>Applies the bank's onboarding rules and decides</w:t>
            </w:r>
          </w:p>
        </w:tc>
      </w:tr>
      <w:tr>
        <w:tc>
          <w:tcPr>
            <w:tcW w:type="dxa" w:w="2880"/>
          </w:tcPr>
          <w:p>
            <w:r/>
            <w:r>
              <w:rPr>
                <w:b/>
                <w:sz w:val="19"/>
              </w:rPr>
              <w:t>Model</w:t>
            </w:r>
          </w:p>
        </w:tc>
        <w:tc>
          <w:tcPr>
            <w:tcW w:type="dxa" w:w="2880"/>
          </w:tcPr>
          <w:p>
            <w:r/>
            <w:r>
              <w:rPr>
                <w:sz w:val="19"/>
              </w:rPr>
              <w:t>Google Gemini Chat Model (Gateway credits)</w:t>
            </w:r>
          </w:p>
        </w:tc>
        <w:tc>
          <w:tcPr>
            <w:tcW w:type="dxa" w:w="2880"/>
          </w:tcPr>
          <w:p>
            <w:r/>
            <w:r>
              <w:rPr>
                <w:sz w:val="19"/>
              </w:rPr>
              <w:t>The LLM brain — keep the temperature low for repeatable decisions</w:t>
            </w:r>
          </w:p>
        </w:tc>
      </w:tr>
      <w:tr>
        <w:tc>
          <w:tcPr>
            <w:tcW w:type="dxa" w:w="2880"/>
          </w:tcPr>
          <w:p>
            <w:r/>
            <w:r>
              <w:rPr>
                <w:b/>
                <w:sz w:val="19"/>
              </w:rPr>
              <w:t>Tools &amp; MCP</w:t>
            </w:r>
          </w:p>
        </w:tc>
        <w:tc>
          <w:tcPr>
            <w:tcW w:type="dxa" w:w="2880"/>
          </w:tcPr>
          <w:p>
            <w:r/>
            <w:r>
              <w:rPr>
                <w:sz w:val="19"/>
              </w:rPr>
              <w:t>check_duplicate_customer · create_customer_record · send_confirmation_email</w:t>
            </w:r>
          </w:p>
        </w:tc>
        <w:tc>
          <w:tcPr>
            <w:tcW w:type="dxa" w:w="2880"/>
          </w:tcPr>
          <w:p>
            <w:r/>
            <w:r>
              <w:rPr>
                <w:sz w:val="19"/>
              </w:rPr>
              <w:t>The agent chooses when to call each one</w:t>
            </w:r>
          </w:p>
        </w:tc>
      </w:tr>
      <w:tr>
        <w:tc>
          <w:tcPr>
            <w:tcW w:type="dxa" w:w="2880"/>
          </w:tcPr>
          <w:p>
            <w:r/>
            <w:r>
              <w:rPr>
                <w:b/>
                <w:sz w:val="19"/>
              </w:rPr>
              <w:t>Instructions</w:t>
            </w:r>
          </w:p>
        </w:tc>
        <w:tc>
          <w:tcPr>
            <w:tcW w:type="dxa" w:w="2880"/>
          </w:tcPr>
          <w:p>
            <w:r/>
            <w:r>
              <w:rPr>
                <w:sz w:val="19"/>
              </w:rPr>
              <w:t>System message: eligibility rules, age check, four decisions</w:t>
            </w:r>
          </w:p>
        </w:tc>
        <w:tc>
          <w:tcPr>
            <w:tcW w:type="dxa" w:w="2880"/>
          </w:tcPr>
          <w:p>
            <w:r/>
            <w:r>
              <w:rPr>
                <w:sz w:val="19"/>
              </w:rPr>
              <w:t>Where the bank's policy actually lives</w:t>
            </w:r>
          </w:p>
        </w:tc>
      </w:tr>
      <w:tr>
        <w:tc>
          <w:tcPr>
            <w:tcW w:type="dxa" w:w="2880"/>
          </w:tcPr>
          <w:p>
            <w:r/>
            <w:r>
              <w:rPr>
                <w:b/>
                <w:sz w:val="19"/>
              </w:rPr>
              <w:t>Memory</w:t>
            </w:r>
          </w:p>
        </w:tc>
        <w:tc>
          <w:tcPr>
            <w:tcW w:type="dxa" w:w="2880"/>
          </w:tcPr>
          <w:p>
            <w:r/>
            <w:r>
              <w:rPr>
                <w:sz w:val="19"/>
              </w:rPr>
              <w:t>None — deliberately</w:t>
            </w:r>
          </w:p>
        </w:tc>
        <w:tc>
          <w:tcPr>
            <w:tcW w:type="dxa" w:w="2880"/>
          </w:tcPr>
          <w:p>
            <w:r/>
            <w:r>
              <w:rPr>
                <w:sz w:val="19"/>
              </w:rPr>
              <w:t>One applicant must never influence the next decision</w:t>
            </w:r>
          </w:p>
        </w:tc>
      </w:tr>
      <w:tr>
        <w:tc>
          <w:tcPr>
            <w:tcW w:type="dxa" w:w="2880"/>
          </w:tcPr>
          <w:p>
            <w:r/>
            <w:r>
              <w:rPr>
                <w:b/>
                <w:sz w:val="19"/>
              </w:rPr>
              <w:t>Structured output</w:t>
            </w:r>
          </w:p>
        </w:tc>
        <w:tc>
          <w:tcPr>
            <w:tcW w:type="dxa" w:w="2880"/>
          </w:tcPr>
          <w:p>
            <w:r/>
            <w:r>
              <w:rPr>
                <w:sz w:val="19"/>
              </w:rPr>
              <w:t>Decision Parser — decision, reason, riskFlags</w:t>
            </w:r>
          </w:p>
        </w:tc>
        <w:tc>
          <w:tcPr>
            <w:tcW w:type="dxa" w:w="2880"/>
          </w:tcPr>
          <w:p>
            <w:r/>
            <w:r>
              <w:rPr>
                <w:sz w:val="19"/>
              </w:rPr>
              <w:t>Lets the page colour the result card</w:t>
            </w:r>
          </w:p>
        </w:tc>
      </w:tr>
    </w:tbl>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15" name="Picture 15"/>
            <wp:cNvGraphicFramePr>
              <a:graphicFrameLocks noChangeAspect="1"/>
            </wp:cNvGraphicFramePr>
            <a:graphic>
              <a:graphicData uri="http://schemas.openxmlformats.org/drawingml/2006/picture">
                <pic:pic>
                  <pic:nvPicPr>
                    <pic:cNvPr id="0" name="site-lab2.png"/>
                    <pic:cNvPicPr/>
                  </pic:nvPicPr>
                  <pic:blipFill>
                    <a:blip r:embed="rId23"/>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16" name="Picture 16"/>
            <wp:cNvGraphicFramePr>
              <a:graphicFrameLocks noChangeAspect="1"/>
            </wp:cNvGraphicFramePr>
            <a:graphic>
              <a:graphicData uri="http://schemas.openxmlformats.org/drawingml/2006/picture">
                <pic:pic>
                  <pic:nvPicPr>
                    <pic:cNvPr id="0" name="canvas-lab2.png"/>
                    <pic:cNvPicPr/>
                  </pic:nvPicPr>
                  <pic:blipFill>
                    <a:blip r:embed="rId24"/>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pPr>
        <w:jc w:val="center"/>
      </w:pPr>
      <w:r>
        <w:drawing>
          <wp:inline xmlns:a="http://schemas.openxmlformats.org/drawingml/2006/main" xmlns:pic="http://schemas.openxmlformats.org/drawingml/2006/picture">
            <wp:extent cx="5669280" cy="2137135"/>
            <wp:docPr id="17" name="Picture 17"/>
            <wp:cNvGraphicFramePr>
              <a:graphicFrameLocks noChangeAspect="1"/>
            </wp:cNvGraphicFramePr>
            <a:graphic>
              <a:graphicData uri="http://schemas.openxmlformats.org/drawingml/2006/picture">
                <pic:pic>
                  <pic:nvPicPr>
                    <pic:cNvPr id="0" name="n8n-flow-lab2.png"/>
                    <pic:cNvPicPr/>
                  </pic:nvPicPr>
                  <pic:blipFill>
                    <a:blip r:embed="rId25"/>
                    <a:stretch>
                      <a:fillRect/>
                    </a:stretch>
                  </pic:blipFill>
                  <pic:spPr>
                    <a:xfrm>
                      <a:off x="0" y="0"/>
                      <a:ext cx="5669280" cy="2137135"/>
                    </a:xfrm>
                    <a:prstGeom prst="rect"/>
                  </pic:spPr>
                </pic:pic>
              </a:graphicData>
            </a:graphic>
          </wp:inline>
        </w:drawing>
      </w:r>
    </w:p>
    <w:p>
      <w:pPr>
        <w:jc w:val="center"/>
      </w:pPr>
      <w:r>
        <w:rPr>
          <w:i/>
          <w:color w:val="555B66"/>
          <w:sz w:val="18"/>
        </w:rPr>
        <w:t>The imported workflow on the n8n canvas. The main chain runs left to right; the agent's model, tools and parser hang beneath it.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Part of the flow</w:t>
            </w:r>
          </w:p>
        </w:tc>
        <w:tc>
          <w:tcPr>
            <w:tcW w:type="dxa" w:w="4320"/>
            <w:shd w:val="clear" w:color="auto" w:fill="1F6FEB"/>
          </w:tcPr>
          <w:p>
            <w:r/>
            <w:r>
              <w:rPr>
                <w:b/>
                <w:color w:val="FFFFFF"/>
                <w:sz w:val="19"/>
              </w:rPr>
              <w:t>What it does</w:t>
            </w:r>
          </w:p>
        </w:tc>
      </w:tr>
      <w:tr>
        <w:tc>
          <w:tcPr>
            <w:tcW w:type="dxa" w:w="4320"/>
          </w:tcPr>
          <w:p>
            <w:r/>
            <w:r>
              <w:rPr>
                <w:b/>
                <w:sz w:val="19"/>
              </w:rPr>
              <w:t>Front door</w:t>
            </w:r>
          </w:p>
        </w:tc>
        <w:tc>
          <w:tcPr>
            <w:tcW w:type="dxa" w:w="4320"/>
          </w:tcPr>
          <w:p>
            <w:r/>
            <w:r>
              <w:rPr>
                <w:sz w:val="19"/>
              </w:rPr>
              <w:t>The bank site POSTs to Onboarding Webhook; Normalise Application tidies the fields the agent reads.</w:t>
            </w:r>
          </w:p>
        </w:tc>
      </w:tr>
      <w:tr>
        <w:tc>
          <w:tcPr>
            <w:tcW w:type="dxa" w:w="4320"/>
          </w:tcPr>
          <w:p>
            <w:r/>
            <w:r>
              <w:rPr>
                <w:b/>
                <w:sz w:val="19"/>
              </w:rPr>
              <w:t>The agent</w:t>
            </w:r>
          </w:p>
        </w:tc>
        <w:tc>
          <w:tcPr>
            <w:tcW w:type="dxa" w:w="4320"/>
          </w:tcPr>
          <w:p>
            <w:r/>
            <w:r>
              <w:rPr>
                <w:sz w:val="19"/>
              </w:rPr>
              <w:t>Onboarding AI Agent applies the bank's rules with its chat model; Decision Parser returns decision, reason and riskFlags.</w:t>
            </w:r>
          </w:p>
        </w:tc>
      </w:tr>
      <w:tr>
        <w:tc>
          <w:tcPr>
            <w:tcW w:type="dxa" w:w="4320"/>
          </w:tcPr>
          <w:p>
            <w:r/>
            <w:r>
              <w:rPr>
                <w:b/>
                <w:sz w:val="19"/>
              </w:rPr>
              <w:t>Three tools</w:t>
            </w:r>
          </w:p>
        </w:tc>
        <w:tc>
          <w:tcPr>
            <w:tcW w:type="dxa" w:w="4320"/>
          </w:tcPr>
          <w:p>
            <w:r/>
            <w:r>
              <w:rPr>
                <w:sz w:val="19"/>
              </w:rPr>
              <w:t>check_duplicate_customer, create_customer_record and send_confirmation_email — the agent chooses when to call each.</w:t>
            </w:r>
          </w:p>
        </w:tc>
      </w:tr>
      <w:tr>
        <w:tc>
          <w:tcPr>
            <w:tcW w:type="dxa" w:w="4320"/>
          </w:tcPr>
          <w:p>
            <w:r/>
            <w:r>
              <w:rPr>
                <w:b/>
                <w:sz w:val="19"/>
              </w:rPr>
              <w:t>Log and respond</w:t>
            </w:r>
          </w:p>
        </w:tc>
        <w:tc>
          <w:tcPr>
            <w:tcW w:type="dxa" w:w="4320"/>
          </w:tcPr>
          <w:p>
            <w:r/>
            <w:r>
              <w:rPr>
                <w:sz w:val="19"/>
              </w:rPr>
              <w:t>Log Decision appends an audit row to Google Sheets; Respond to Website sends the decision back to the page.</w:t>
            </w:r>
          </w:p>
        </w:tc>
      </w:tr>
    </w:tbl>
    <w:p/>
    <w:p>
      <w:r>
        <w:rPr>
          <w:b/>
          <w:color w:val="1F6FEB"/>
        </w:rPr>
        <w:t xml:space="preserve">Note: </w:t>
      </w:r>
      <w:r>
        <w:rPr>
          <w:sz w:val="20"/>
        </w:rPr>
        <w:t>The dashed lines are the agent's sub-nodes: it calls them when it decides to — the solid chain always runs in order.</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 2 - Marina Trust Bank Onboarding 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click Publish, copy the webhook's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published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82–102.)</w:t>
      </w:r>
    </w:p>
    <w:p>
      <w:pPr>
        <w:pStyle w:val="Heading2"/>
      </w:pPr>
      <w:r>
        <w:t>Key Concepts for Lab 3 — Chatbot Webhook</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r>
        <w:rPr>
          <w:b/>
          <w:color w:val="1F6FEB"/>
          <w:sz w:val="22"/>
        </w:rPr>
        <w:t>Demo: an HR policy chatbot on Telegram</w:t>
      </w:r>
    </w:p>
    <w:p>
      <w:r>
        <w:t>What is a chatbot? An agent behind a chat channel. Before Lab 3 puts a chatbot behind a website, you build one on Telegram: Telegram Trigger → HR Agent — Ava → Chat model → Reply on Telegram. The HR Agent, Ava, answers only from sample HR policies written into its system instruction, never invents a number, refers salary, medical or disciplinary questions to HR, and remembers the conversation. (Deck reference: Slides 82–90.)</w:t>
      </w:r>
    </w:p>
    <w:p>
      <w:r>
        <w:t>Step 1 — create a Telegram bot with BotFather:</w:t>
      </w:r>
    </w:p>
    <w:p>
      <w:pPr>
        <w:pStyle w:val="ListNumber"/>
      </w:pPr>
      <w:r>
        <w:t>Open the Telegram app and search for the verified account named BotFather (look for the blue checkmark).</w:t>
      </w:r>
    </w:p>
    <w:p>
      <w:pPr>
        <w:ind w:left="720"/>
      </w:pPr>
      <w:r>
        <w:rPr>
          <w:b/>
          <w:i/>
          <w:color w:val="B4760B"/>
          <w:sz w:val="19"/>
        </w:rPr>
        <w:t xml:space="preserve">Why this step: </w:t>
      </w:r>
      <w:r>
        <w:rPr>
          <w:i/>
          <w:color w:val="555B66"/>
          <w:sz w:val="19"/>
        </w:rPr>
        <w:t>BotFather is Telegram's own bot for creating bots. Impostors exist, so check for the blue checkmark.</w:t>
      </w:r>
    </w:p>
    <w:p>
      <w:pPr>
        <w:pStyle w:val="ListNumber"/>
      </w:pPr>
      <w:r>
        <w:t>Start a chat and send the command /newbot.</w:t>
      </w:r>
    </w:p>
    <w:p>
      <w:pPr>
        <w:ind w:left="720"/>
      </w:pPr>
      <w:r>
        <w:rPr>
          <w:b/>
          <w:i/>
          <w:color w:val="B4760B"/>
          <w:sz w:val="19"/>
        </w:rPr>
        <w:t xml:space="preserve">Why this step: </w:t>
      </w:r>
      <w:r>
        <w:rPr>
          <w:i/>
          <w:color w:val="555B66"/>
          <w:sz w:val="19"/>
        </w:rPr>
        <w:t>Every Telegram bot, including the ones big companies run, starts with this one command.</w:t>
      </w:r>
    </w:p>
    <w:p>
      <w:pPr>
        <w:pStyle w:val="ListNumber"/>
      </w:pPr>
      <w:r>
        <w:t>Type a display name for your bot (e.g., My Free Helper Bot).</w:t>
      </w:r>
    </w:p>
    <w:p>
      <w:pPr>
        <w:ind w:left="720"/>
      </w:pPr>
      <w:r>
        <w:rPr>
          <w:b/>
          <w:i/>
          <w:color w:val="B4760B"/>
          <w:sz w:val="19"/>
        </w:rPr>
        <w:t xml:space="preserve">Why this step: </w:t>
      </w:r>
      <w:r>
        <w:rPr>
          <w:i/>
          <w:color w:val="555B66"/>
          <w:sz w:val="19"/>
        </w:rPr>
        <w:t>The display name is what people see in their chat list. It can contain spaces and can be changed later with /setname.</w:t>
      </w:r>
    </w:p>
    <w:p>
      <w:pPr>
        <w:pStyle w:val="ListNumber"/>
      </w:pPr>
      <w:r>
        <w:t>Choose a unique username that ends in bot (e.g., my_free_helper_bot).</w:t>
      </w:r>
    </w:p>
    <w:p>
      <w:pPr>
        <w:ind w:left="720"/>
      </w:pPr>
      <w:r>
        <w:rPr>
          <w:b/>
          <w:i/>
          <w:color w:val="B4760B"/>
          <w:sz w:val="19"/>
        </w:rPr>
        <w:t xml:space="preserve">Why this step: </w:t>
      </w:r>
      <w:r>
        <w:rPr>
          <w:i/>
          <w:color w:val="555B66"/>
          <w:sz w:val="19"/>
        </w:rPr>
        <w:t>The username is the bot's permanent address — t.me/&lt;username&gt; — and must be unique across all of Telegram. If it is taken, try another.</w:t>
      </w:r>
    </w:p>
    <w:p>
      <w:pPr>
        <w:pStyle w:val="ListNumber"/>
      </w:pPr>
      <w:r>
        <w:t>Copy the HTTP API token that BotFather replies with (it looks like 123456789:AAH…). You will paste it into n8n in Step 3.</w:t>
      </w:r>
    </w:p>
    <w:p>
      <w:pPr>
        <w:ind w:left="720"/>
      </w:pPr>
      <w:r>
        <w:rPr>
          <w:b/>
          <w:i/>
          <w:color w:val="B4760B"/>
          <w:sz w:val="19"/>
        </w:rPr>
        <w:t xml:space="preserve">Why this step: </w:t>
      </w:r>
      <w:r>
        <w:rPr>
          <w:i/>
          <w:color w:val="555B66"/>
          <w:sz w:val="19"/>
        </w:rPr>
        <w:t>The token is the bot's password. Anyone holding it controls the bot; if it leaks, send /revoke to BotFather.</w:t>
      </w:r>
    </w:p>
    <w:p>
      <w:r>
        <w:t>Step 2 — build the workflow with n8n Assistant. Create a new workflow, open n8n Assistant and paste this prompt:</w:t>
      </w:r>
    </w:p>
    <w:p>
      <w:r>
        <w:rPr>
          <w:rFonts w:ascii="Consolas" w:hAnsi="Consolas"/>
          <w:color w:val="0B3060"/>
          <w:sz w:val="19"/>
        </w:rPr>
        <w:t>Create a 3-node workflow:</w:t>
      </w:r>
    </w:p>
    <w:p>
      <w:r>
        <w:rPr>
          <w:rFonts w:ascii="Consolas" w:hAnsi="Consolas"/>
          <w:color w:val="0B3060"/>
          <w:sz w:val="19"/>
        </w:rPr>
        <w:t>•  A user posts a message to a Telegram bot.</w:t>
      </w:r>
    </w:p>
    <w:p>
      <w:r>
        <w:rPr>
          <w:rFonts w:ascii="Consolas" w:hAnsi="Consolas"/>
          <w:color w:val="0B3060"/>
          <w:sz w:val="19"/>
        </w:rPr>
        <w:t>•  Telegram sends the data to an HR agent.</w:t>
      </w:r>
    </w:p>
    <w:p>
      <w:r>
        <w:rPr>
          <w:rFonts w:ascii="Consolas" w:hAnsi="Consolas"/>
          <w:color w:val="0B3060"/>
          <w:sz w:val="19"/>
        </w:rPr>
        <w:t>•  The HR agent responds to the user on the company HR policies. Create a system instruction for the HR agent with sample company policies in it. The HR agent has a memory.</w:t>
      </w:r>
    </w:p>
    <w:p>
      <w:r>
        <w:rPr>
          <w:rFonts w:ascii="Consolas" w:hAnsi="Consolas"/>
          <w:color w:val="0B3060"/>
          <w:sz w:val="19"/>
        </w:rPr>
        <w:t>•  Respond to Telegram.</w:t>
      </w:r>
    </w:p>
    <w:p>
      <w:pPr>
        <w:pStyle w:val="ListBullet"/>
      </w:pPr>
      <w:r>
        <w:t>Review the plan before it builds</w:t>
      </w:r>
    </w:p>
    <w:p>
      <w:pPr>
        <w:pStyle w:val="ListBullet"/>
      </w:pPr>
      <w:r>
        <w:t>Read the system instruction it wrote — edit the sample policies if you like</w:t>
      </w:r>
    </w:p>
    <w:p>
      <w:pPr>
        <w:pStyle w:val="ListBullet"/>
      </w:pPr>
      <w:r>
        <w:t>Check a memory node is attached to the HR agent</w:t>
      </w:r>
    </w:p>
    <w:p>
      <w:pPr>
        <w:pStyle w:val="ListBullet"/>
      </w:pPr>
      <w:r>
        <w:t>Stuck? Import the reference solution instead</w:t>
      </w:r>
    </w:p>
    <w:p>
      <w:r>
        <w:rPr>
          <w:b/>
          <w:color w:val="1F6FEB"/>
        </w:rPr>
        <w:t xml:space="preserve">Note: </w:t>
      </w:r>
      <w:r>
        <w:rPr>
          <w:sz w:val="20"/>
        </w:rPr>
        <w:t>Reference solution: labs/lab3-chatbot-webhook/Lab 3 Demo - Telegram HR Policy Agent.json. It has no memory node; the workflow your prompt builds should.</w:t>
      </w:r>
    </w:p>
    <w:p>
      <w:pPr>
        <w:jc w:val="center"/>
      </w:pPr>
      <w:r>
        <w:drawing>
          <wp:inline xmlns:a="http://schemas.openxmlformats.org/drawingml/2006/main" xmlns:pic="http://schemas.openxmlformats.org/drawingml/2006/picture">
            <wp:extent cx="5669280" cy="2514944"/>
            <wp:docPr id="18" name="Picture 18"/>
            <wp:cNvGraphicFramePr>
              <a:graphicFrameLocks noChangeAspect="1"/>
            </wp:cNvGraphicFramePr>
            <a:graphic>
              <a:graphicData uri="http://schemas.openxmlformats.org/drawingml/2006/picture">
                <pic:pic>
                  <pic:nvPicPr>
                    <pic:cNvPr id="0" name="n8n-flow-telegram-demo.png"/>
                    <pic:cNvPicPr/>
                  </pic:nvPicPr>
                  <pic:blipFill>
                    <a:blip r:embed="rId26"/>
                    <a:stretch>
                      <a:fillRect/>
                    </a:stretch>
                  </pic:blipFill>
                  <pic:spPr>
                    <a:xfrm>
                      <a:off x="0" y="0"/>
                      <a:ext cx="5669280" cy="2514944"/>
                    </a:xfrm>
                    <a:prstGeom prst="rect"/>
                  </pic:spPr>
                </pic:pic>
              </a:graphicData>
            </a:graphic>
          </wp:inline>
        </w:drawing>
      </w:r>
    </w:p>
    <w:p>
      <w:pPr>
        <w:jc w:val="center"/>
      </w:pPr>
      <w:r>
        <w:rPr>
          <w:i/>
          <w:color w:val="555B66"/>
          <w:sz w:val="18"/>
        </w:rPr>
        <w:t>Your canvas should look like this: trigger, agent, reply — with the chat model and memory hanging under the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Node</w:t>
            </w:r>
          </w:p>
        </w:tc>
        <w:tc>
          <w:tcPr>
            <w:tcW w:type="dxa" w:w="4320"/>
            <w:shd w:val="clear" w:color="auto" w:fill="1F6FEB"/>
          </w:tcPr>
          <w:p>
            <w:r/>
            <w:r>
              <w:rPr>
                <w:b/>
                <w:color w:val="FFFFFF"/>
                <w:sz w:val="19"/>
              </w:rPr>
              <w:t>What it does</w:t>
            </w:r>
          </w:p>
        </w:tc>
      </w:tr>
      <w:tr>
        <w:tc>
          <w:tcPr>
            <w:tcW w:type="dxa" w:w="4320"/>
          </w:tcPr>
          <w:p>
            <w:r/>
            <w:r>
              <w:rPr>
                <w:b/>
                <w:sz w:val="19"/>
              </w:rPr>
              <w:t>Telegram Trigger</w:t>
            </w:r>
          </w:p>
        </w:tc>
        <w:tc>
          <w:tcPr>
            <w:tcW w:type="dxa" w:w="4320"/>
          </w:tcPr>
          <w:p>
            <w:r/>
            <w:r>
              <w:rPr>
                <w:sz w:val="19"/>
              </w:rPr>
              <w:t>Updates: message — every message sent to the bot starts one execution.</w:t>
            </w:r>
          </w:p>
        </w:tc>
      </w:tr>
      <w:tr>
        <w:tc>
          <w:tcPr>
            <w:tcW w:type="dxa" w:w="4320"/>
          </w:tcPr>
          <w:p>
            <w:r/>
            <w:r>
              <w:rPr>
                <w:b/>
                <w:sz w:val="19"/>
              </w:rPr>
              <w:t>HR Agent</w:t>
            </w:r>
          </w:p>
        </w:tc>
        <w:tc>
          <w:tcPr>
            <w:tcW w:type="dxa" w:w="4320"/>
          </w:tcPr>
          <w:p>
            <w:r/>
            <w:r>
              <w:rPr>
                <w:sz w:val="19"/>
              </w:rPr>
              <w:t>Ava's role, rules and sample HR policies live in the system instruction n8n Assistant wrote.</w:t>
            </w:r>
          </w:p>
        </w:tc>
      </w:tr>
      <w:tr>
        <w:tc>
          <w:tcPr>
            <w:tcW w:type="dxa" w:w="4320"/>
          </w:tcPr>
          <w:p>
            <w:r/>
            <w:r>
              <w:rPr>
                <w:b/>
                <w:sz w:val="19"/>
              </w:rPr>
              <w:t>Model and memory</w:t>
            </w:r>
          </w:p>
        </w:tc>
        <w:tc>
          <w:tcPr>
            <w:tcW w:type="dxa" w:w="4320"/>
          </w:tcPr>
          <w:p>
            <w:r/>
            <w:r>
              <w:rPr>
                <w:sz w:val="19"/>
              </w:rPr>
              <w:t>Chat model on Gateway credits; memory keeps each employee's conversation, keyed on the Telegram chat ID.</w:t>
            </w:r>
          </w:p>
        </w:tc>
      </w:tr>
      <w:tr>
        <w:tc>
          <w:tcPr>
            <w:tcW w:type="dxa" w:w="4320"/>
          </w:tcPr>
          <w:p>
            <w:r/>
            <w:r>
              <w:rPr>
                <w:b/>
                <w:sz w:val="19"/>
              </w:rPr>
              <w:t>Reply out</w:t>
            </w:r>
          </w:p>
        </w:tc>
        <w:tc>
          <w:tcPr>
            <w:tcW w:type="dxa" w:w="4320"/>
          </w:tcPr>
          <w:p>
            <w:r/>
            <w:r>
              <w:rPr>
                <w:sz w:val="19"/>
              </w:rPr>
              <w:t>Reply on Telegram sends back to the chat ID the trigger received, so the reply lands in the same chat.</w:t>
            </w:r>
          </w:p>
        </w:tc>
      </w:tr>
    </w:tbl>
    <w:p/>
    <w:p>
      <w:r>
        <w:t>Step 3 — connect the bot, publish and chat:</w:t>
      </w:r>
    </w:p>
    <w:p>
      <w:pPr>
        <w:pStyle w:val="ListNumber"/>
      </w:pPr>
      <w:r>
        <w:t>Open the Telegram Trigger node, choose Credential → Create new credential, paste the BotFather token as the Access Token and save.</w:t>
      </w:r>
    </w:p>
    <w:p>
      <w:pPr>
        <w:ind w:left="720"/>
      </w:pPr>
      <w:r>
        <w:rPr>
          <w:b/>
          <w:i/>
          <w:color w:val="B4760B"/>
          <w:sz w:val="19"/>
        </w:rPr>
        <w:t xml:space="preserve">Why this step: </w:t>
      </w:r>
      <w:r>
        <w:rPr>
          <w:i/>
          <w:color w:val="555B66"/>
          <w:sz w:val="19"/>
        </w:rPr>
        <w:t>The trigger listens for messages with this credential.</w:t>
      </w:r>
    </w:p>
    <w:p>
      <w:pPr>
        <w:pStyle w:val="ListNumber"/>
      </w:pPr>
      <w:r>
        <w:t>Open the Telegram node that sends the reply and select the same Telegram credential.</w:t>
      </w:r>
    </w:p>
    <w:p>
      <w:pPr>
        <w:ind w:left="720"/>
      </w:pPr>
      <w:r>
        <w:rPr>
          <w:b/>
          <w:i/>
          <w:color w:val="B4760B"/>
          <w:sz w:val="19"/>
        </w:rPr>
        <w:t xml:space="preserve">Why this step: </w:t>
      </w:r>
      <w:r>
        <w:rPr>
          <w:i/>
          <w:color w:val="555B66"/>
          <w:sz w:val="19"/>
        </w:rPr>
        <w:t>Both Telegram nodes share one credential — one listens, the other answers.</w:t>
      </w:r>
    </w:p>
    <w:p>
      <w:pPr>
        <w:pStyle w:val="ListNumber"/>
      </w:pPr>
      <w:r>
        <w:t>Open the chat model under the HR agent and choose Use Gateway credits as its credential.</w:t>
      </w:r>
    </w:p>
    <w:p>
      <w:pPr>
        <w:ind w:left="720"/>
      </w:pPr>
      <w:r>
        <w:rPr>
          <w:b/>
          <w:i/>
          <w:color w:val="B4760B"/>
          <w:sz w:val="19"/>
        </w:rPr>
        <w:t xml:space="preserve">Why this step: </w:t>
      </w:r>
      <w:r>
        <w:rPr>
          <w:i/>
          <w:color w:val="555B66"/>
          <w:sz w:val="19"/>
        </w:rPr>
        <w:t>No OpenAI account or API key is needed on n8n Cloud — the same free credits used in Lab 2.</w:t>
      </w:r>
    </w:p>
    <w:p>
      <w:pPr>
        <w:pStyle w:val="ListNumber"/>
      </w:pPr>
      <w:r>
        <w:t>Click Publish. n8n registers the workflow's Production webhook with Telegram, so every message to the bot now starts the workflow.</w:t>
      </w:r>
    </w:p>
    <w:p>
      <w:pPr>
        <w:ind w:left="720"/>
      </w:pPr>
      <w:r>
        <w:rPr>
          <w:b/>
          <w:i/>
          <w:color w:val="B4760B"/>
          <w:sz w:val="19"/>
        </w:rPr>
        <w:t xml:space="preserve">Why this step: </w:t>
      </w:r>
      <w:r>
        <w:rPr>
          <w:i/>
          <w:color w:val="555B66"/>
          <w:sz w:val="19"/>
        </w:rPr>
        <w:t>A Telegram bot has ONE webhook at a time. Testing in the editor swaps in the Test URL, so publish again when you are done.</w:t>
      </w:r>
    </w:p>
    <w:p>
      <w:pPr>
        <w:pStyle w:val="ListNumber"/>
      </w:pPr>
      <w:r>
        <w:t>Open t.me/&lt;your bot username&gt;, tap Start and ask: How many days of annual leave do I get? Ask a follow-up, then ask about a colleague's salary.</w:t>
      </w:r>
    </w:p>
    <w:p>
      <w:pPr>
        <w:ind w:left="720"/>
      </w:pPr>
      <w:r>
        <w:rPr>
          <w:b/>
          <w:i/>
          <w:color w:val="B4760B"/>
          <w:sz w:val="19"/>
        </w:rPr>
        <w:t xml:space="preserve">Why this step: </w:t>
      </w:r>
      <w:r>
        <w:rPr>
          <w:i/>
          <w:color w:val="555B66"/>
          <w:sz w:val="19"/>
        </w:rPr>
        <w:t>The follow-up proves the memory works; the salary question must be referred to HR — the guardrail in the system instruction.</w:t>
      </w:r>
    </w:p>
    <w:p>
      <w:pPr>
        <w:jc w:val="center"/>
      </w:pPr>
      <w:r>
        <w:drawing>
          <wp:inline xmlns:a="http://schemas.openxmlformats.org/drawingml/2006/main" xmlns:pic="http://schemas.openxmlformats.org/drawingml/2006/picture">
            <wp:extent cx="5669280" cy="6656569"/>
            <wp:docPr id="19" name="Picture 19"/>
            <wp:cNvGraphicFramePr>
              <a:graphicFrameLocks noChangeAspect="1"/>
            </wp:cNvGraphicFramePr>
            <a:graphic>
              <a:graphicData uri="http://schemas.openxmlformats.org/drawingml/2006/picture">
                <pic:pic>
                  <pic:nvPicPr>
                    <pic:cNvPr id="0" name="telegram-chat-demo.png"/>
                    <pic:cNvPicPr/>
                  </pic:nvPicPr>
                  <pic:blipFill>
                    <a:blip r:embed="rId27"/>
                    <a:stretch>
                      <a:fillRect/>
                    </a:stretch>
                  </pic:blipFill>
                  <pic:spPr>
                    <a:xfrm>
                      <a:off x="0" y="0"/>
                      <a:ext cx="5669280" cy="6656569"/>
                    </a:xfrm>
                    <a:prstGeom prst="rect"/>
                  </pic:spPr>
                </pic:pic>
              </a:graphicData>
            </a:graphic>
          </wp:inline>
        </w:drawing>
      </w:r>
    </w:p>
    <w:p>
      <w:pPr>
        <w:jc w:val="center"/>
      </w:pPr>
      <w:r>
        <w:rPr>
          <w:i/>
          <w:color w:val="555B66"/>
          <w:sz w:val="18"/>
        </w:rPr>
        <w:t>The live demo bot on Telegram — /start, then a question about annual leave.</w:t>
      </w:r>
    </w:p>
    <w:p>
      <w:pPr>
        <w:pStyle w:val="ListBullet"/>
      </w:pPr>
      <w:r>
        <w:t>/start opens the chat — Ava introduces herself exactly as her system message tells her to.</w:t>
      </w:r>
    </w:p>
    <w:p>
      <w:pPr>
        <w:pStyle w:val="ListBullet"/>
      </w:pPr>
      <w:r>
        <w:t>Ask how many days of leave you get: the answer quotes the policy — 14, 18 or 21 days by length of service.</w:t>
      </w:r>
    </w:p>
    <w:p>
      <w:pPr>
        <w:pStyle w:val="ListBullet"/>
      </w:pPr>
      <w:r>
        <w:t>Ask a follow-up — memory keeps the context. Then ask about a colleague's salary: Ava must refer you to HR.</w:t>
      </w:r>
    </w:p>
    <w:p>
      <w:pPr>
        <w:pStyle w:val="ListBullet"/>
      </w:pPr>
      <w:r>
        <w:t>Every message is one workflow run — open Executions in n8n to watch it happen.</w:t>
      </w:r>
    </w:p>
    <w:p>
      <w:r>
        <w:rPr>
          <w:b/>
          <w:color w:val="1F6FEB"/>
        </w:rPr>
        <w:t xml:space="preserve">Note: </w:t>
      </w:r>
      <w:r>
        <w:rPr>
          <w:sz w:val="20"/>
        </w:rPr>
        <w:t>The bot is only as safe as its system message. Lab 3 adds a contact gate and a refusal rule, behind a website.</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91–94.</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site-lab3.png"/>
                    <pic:cNvPicPr/>
                  </pic:nvPicPr>
                  <pic:blipFill>
                    <a:blip r:embed="rId2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21" name="Picture 21"/>
            <wp:cNvGraphicFramePr>
              <a:graphicFrameLocks noChangeAspect="1"/>
            </wp:cNvGraphicFramePr>
            <a:graphic>
              <a:graphicData uri="http://schemas.openxmlformats.org/drawingml/2006/picture">
                <pic:pic>
                  <pic:nvPicPr>
                    <pic:cNvPr id="0" name="canvas-lab3.png"/>
                    <pic:cNvPicPr/>
                  </pic:nvPicPr>
                  <pic:blipFill>
                    <a:blip r:embed="rId2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pPr>
        <w:jc w:val="center"/>
      </w:pPr>
      <w:r>
        <w:drawing>
          <wp:inline xmlns:a="http://schemas.openxmlformats.org/drawingml/2006/main" xmlns:pic="http://schemas.openxmlformats.org/drawingml/2006/picture">
            <wp:extent cx="5669280" cy="2146736"/>
            <wp:docPr id="22" name="Picture 22"/>
            <wp:cNvGraphicFramePr>
              <a:graphicFrameLocks noChangeAspect="1"/>
            </wp:cNvGraphicFramePr>
            <a:graphic>
              <a:graphicData uri="http://schemas.openxmlformats.org/drawingml/2006/picture">
                <pic:pic>
                  <pic:nvPicPr>
                    <pic:cNvPr id="0" name="n8n-flow-lab3.png"/>
                    <pic:cNvPicPr/>
                  </pic:nvPicPr>
                  <pic:blipFill>
                    <a:blip r:embed="rId30"/>
                    <a:stretch>
                      <a:fillRect/>
                    </a:stretch>
                  </pic:blipFill>
                  <pic:spPr>
                    <a:xfrm>
                      <a:off x="0" y="0"/>
                      <a:ext cx="5669280" cy="2146736"/>
                    </a:xfrm>
                    <a:prstGeom prst="rect"/>
                  </pic:spPr>
                </pic:pic>
              </a:graphicData>
            </a:graphic>
          </wp:inline>
        </w:drawing>
      </w:r>
    </w:p>
    <w:p>
      <w:pPr>
        <w:jc w:val="center"/>
      </w:pPr>
      <w:r>
        <w:rPr>
          <w:i/>
          <w:color w:val="555B66"/>
          <w:sz w:val="18"/>
        </w:rPr>
        <w:t>The imported workflow on the n8n canvas: webhook in, normalise, agent, shape the reply, respond. The intelligence is in the system message.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Part of the flow</w:t>
            </w:r>
          </w:p>
        </w:tc>
        <w:tc>
          <w:tcPr>
            <w:tcW w:type="dxa" w:w="4320"/>
            <w:shd w:val="clear" w:color="auto" w:fill="1F6FEB"/>
          </w:tcPr>
          <w:p>
            <w:r/>
            <w:r>
              <w:rPr>
                <w:b/>
                <w:color w:val="FFFFFF"/>
                <w:sz w:val="19"/>
              </w:rPr>
              <w:t>What it does</w:t>
            </w:r>
          </w:p>
        </w:tc>
      </w:tr>
      <w:tr>
        <w:tc>
          <w:tcPr>
            <w:tcW w:type="dxa" w:w="4320"/>
          </w:tcPr>
          <w:p>
            <w:r/>
            <w:r>
              <w:rPr>
                <w:b/>
                <w:sz w:val="19"/>
              </w:rPr>
              <w:t>Message in</w:t>
            </w:r>
          </w:p>
        </w:tc>
        <w:tc>
          <w:tcPr>
            <w:tcW w:type="dxa" w:w="4320"/>
          </w:tcPr>
          <w:p>
            <w:r/>
            <w:r>
              <w:rPr>
                <w:sz w:val="19"/>
              </w:rPr>
              <w:t>Chat Webhook receives each message from the widget; Normalize Chat Message shapes it for the agent.</w:t>
            </w:r>
          </w:p>
        </w:tc>
      </w:tr>
      <w:tr>
        <w:tc>
          <w:tcPr>
            <w:tcW w:type="dxa" w:w="4320"/>
          </w:tcPr>
          <w:p>
            <w:r/>
            <w:r>
              <w:rPr>
                <w:b/>
                <w:sz w:val="19"/>
              </w:rPr>
              <w:t>The agent</w:t>
            </w:r>
          </w:p>
        </w:tc>
        <w:tc>
          <w:tcPr>
            <w:tcW w:type="dxa" w:w="4320"/>
          </w:tcPr>
          <w:p>
            <w:r/>
            <w:r>
              <w:rPr>
                <w:sz w:val="19"/>
              </w:rPr>
              <w:t>Investment Advisor AI holds the contact gate, the non-advisory rule and the nine-question FAQ.</w:t>
            </w:r>
          </w:p>
        </w:tc>
      </w:tr>
      <w:tr>
        <w:tc>
          <w:tcPr>
            <w:tcW w:type="dxa" w:w="4320"/>
          </w:tcPr>
          <w:p>
            <w:r/>
            <w:r>
              <w:rPr>
                <w:b/>
                <w:sz w:val="19"/>
              </w:rPr>
              <w:t>Model and memory</w:t>
            </w:r>
          </w:p>
        </w:tc>
        <w:tc>
          <w:tcPr>
            <w:tcW w:type="dxa" w:w="4320"/>
          </w:tcPr>
          <w:p>
            <w:r/>
            <w:r>
              <w:rPr>
                <w:sz w:val="19"/>
              </w:rPr>
              <w:t>Google Gemini Chat Model (temperature 0.2) and Website Chat Memory keyed on the visitor's sessionId.</w:t>
            </w:r>
          </w:p>
        </w:tc>
      </w:tr>
      <w:tr>
        <w:tc>
          <w:tcPr>
            <w:tcW w:type="dxa" w:w="4320"/>
          </w:tcPr>
          <w:p>
            <w:r/>
            <w:r>
              <w:rPr>
                <w:b/>
                <w:sz w:val="19"/>
              </w:rPr>
              <w:t>Reply out</w:t>
            </w:r>
          </w:p>
        </w:tc>
        <w:tc>
          <w:tcPr>
            <w:tcW w:type="dxa" w:w="4320"/>
          </w:tcPr>
          <w:p>
            <w:r/>
            <w:r>
              <w:rPr>
                <w:sz w:val="19"/>
              </w:rPr>
              <w:t>Chat Response Body builds the JSON reply; Respond to Chat returns it to the widget.</w:t>
            </w:r>
          </w:p>
        </w:tc>
      </w:tr>
    </w:tbl>
    <w:p/>
    <w:p>
      <w:r>
        <w:rPr>
          <w:b/>
          <w:color w:val="1F6FEB"/>
        </w:rPr>
        <w:t xml:space="preserve">Note: </w:t>
      </w:r>
      <w:r>
        <w:rPr>
          <w:sz w:val="20"/>
        </w:rPr>
        <w:t>The warning on the Gemini node means no credential is selected yet — choosing your Gemini credential is the first fix after import.</w:t>
      </w:r>
    </w:p>
    <w:p>
      <w:r>
        <w:rPr>
          <w:b/>
          <w:color w:val="1F6FEB"/>
          <w:sz w:val="22"/>
        </w:rPr>
        <w:t>Step-by-step</w:t>
      </w:r>
    </w:p>
    <w:p>
      <w:pPr>
        <w:pStyle w:val="ListNumber"/>
      </w:pPr>
      <w:r>
        <w:t>Choose Workflows → Import from File and select Lab 3 - Investment Advisor Chatbot.json.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published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Key Concepts for Lab 4 — Human in the Loop</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99–101.</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23" name="Picture 23"/>
            <wp:cNvGraphicFramePr>
              <a:graphicFrameLocks noChangeAspect="1"/>
            </wp:cNvGraphicFramePr>
            <a:graphic>
              <a:graphicData uri="http://schemas.openxmlformats.org/drawingml/2006/picture">
                <pic:pic>
                  <pic:nvPicPr>
                    <pic:cNvPr id="0" name="site-lab4.png"/>
                    <pic:cNvPicPr/>
                  </pic:nvPicPr>
                  <pic:blipFill>
                    <a:blip r:embed="rId31"/>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24" name="Picture 24"/>
            <wp:cNvGraphicFramePr>
              <a:graphicFrameLocks noChangeAspect="1"/>
            </wp:cNvGraphicFramePr>
            <a:graphic>
              <a:graphicData uri="http://schemas.openxmlformats.org/drawingml/2006/picture">
                <pic:pic>
                  <pic:nvPicPr>
                    <pic:cNvPr id="0" name="canvas-lab4.png"/>
                    <pic:cNvPicPr/>
                  </pic:nvPicPr>
                  <pic:blipFill>
                    <a:blip r:embed="rId32"/>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 4 - Client Rapport Assistant (Human in the 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103–115.)</w:t>
      </w:r>
    </w:p>
    <w:p>
      <w:pPr>
        <w:pStyle w:val="Heading2"/>
      </w:pPr>
      <w:r>
        <w:t>Key Concepts for Lab 5 — RAG Customer Care Chatbot</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25" name="Picture 25"/>
            <wp:cNvGraphicFramePr>
              <a:graphicFrameLocks noChangeAspect="1"/>
            </wp:cNvGraphicFramePr>
            <a:graphic>
              <a:graphicData uri="http://schemas.openxmlformats.org/drawingml/2006/picture">
                <pic:pic>
                  <pic:nvPicPr>
                    <pic:cNvPr id="0" name="rag-concept.png"/>
                    <pic:cNvPicPr/>
                  </pic:nvPicPr>
                  <pic:blipFill>
                    <a:blip r:embed="rId33"/>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26" name="Picture 26"/>
            <wp:cNvGraphicFramePr>
              <a:graphicFrameLocks noChangeAspect="1"/>
            </wp:cNvGraphicFramePr>
            <a:graphic>
              <a:graphicData uri="http://schemas.openxmlformats.org/drawingml/2006/picture">
                <pic:pic>
                  <pic:nvPicPr>
                    <pic:cNvPr id="0" name="text-embedding.png"/>
                    <pic:cNvPicPr/>
                  </pic:nvPicPr>
                  <pic:blipFill>
                    <a:blip r:embed="rId34"/>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27" name="Picture 27"/>
            <wp:cNvGraphicFramePr>
              <a:graphicFrameLocks noChangeAspect="1"/>
            </wp:cNvGraphicFramePr>
            <a:graphic>
              <a:graphicData uri="http://schemas.openxmlformats.org/drawingml/2006/picture">
                <pic:pic>
                  <pic:nvPicPr>
                    <pic:cNvPr id="0" name="vector-database.png"/>
                    <pic:cNvPicPr/>
                  </pic:nvPicPr>
                  <pic:blipFill>
                    <a:blip r:embed="rId35"/>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112–115.</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28" name="Picture 28"/>
            <wp:cNvGraphicFramePr>
              <a:graphicFrameLocks noChangeAspect="1"/>
            </wp:cNvGraphicFramePr>
            <a:graphic>
              <a:graphicData uri="http://schemas.openxmlformats.org/drawingml/2006/picture">
                <pic:pic>
                  <pic:nvPicPr>
                    <pic:cNvPr id="0" name="site-lab5.png"/>
                    <pic:cNvPicPr/>
                  </pic:nvPicPr>
                  <pic:blipFill>
                    <a:blip r:embed="rId36"/>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29" name="Picture 29"/>
            <wp:cNvGraphicFramePr>
              <a:graphicFrameLocks noChangeAspect="1"/>
            </wp:cNvGraphicFramePr>
            <a:graphic>
              <a:graphicData uri="http://schemas.openxmlformats.org/drawingml/2006/picture">
                <pic:pic>
                  <pic:nvPicPr>
                    <pic:cNvPr id="0" name="canvas-lab5-ingest.png"/>
                    <pic:cNvPicPr/>
                  </pic:nvPicPr>
                  <pic:blipFill>
                    <a:blip r:embed="rId37"/>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30" name="Picture 30"/>
            <wp:cNvGraphicFramePr>
              <a:graphicFrameLocks noChangeAspect="1"/>
            </wp:cNvGraphicFramePr>
            <a:graphic>
              <a:graphicData uri="http://schemas.openxmlformats.org/drawingml/2006/picture">
                <pic:pic>
                  <pic:nvPicPr>
                    <pic:cNvPr id="0" name="canvas-lab5-agent.png"/>
                    <pic:cNvPicPr/>
                  </pic:nvPicPr>
                  <pic:blipFill>
                    <a:blip r:embed="rId38"/>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 5 - Part 1 Ingest Brochures.json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Lab 5 - Part 2 Cook and Bake RAG 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3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