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Finance — Month-End Close Calendar and Controls</w:t>
      </w:r>
    </w:p>
    <w:p>
      <w:r>
        <w:t>Document ID: POL-FIN-002</w:t>
      </w:r>
    </w:p>
    <w:p>
      <w:r>
        <w:t>Effective date: 1 January 2026</w:t>
      </w:r>
    </w:p>
    <w:p>
      <w:r>
        <w:t>Review date: 31 December 2026</w:t>
      </w:r>
    </w:p>
    <w:p>
      <w:r>
        <w:t>Owner: Financial Controller</w:t>
      </w:r>
    </w:p>
    <w:p>
      <w:r>
        <w:t>Classification: Internal</w:t>
      </w:r>
    </w:p>
    <w:p>
      <w:r>
        <w:t>Synthetic policy created for training (TGS-2026065050). Not a real policy.</w:t>
      </w:r>
    </w:p>
    <w:p>
      <w:pPr>
        <w:pStyle w:val="Heading2"/>
      </w:pPr>
      <w:r>
        <w:t>1. Close timetable</w:t>
      </w:r>
    </w:p>
    <w:p>
      <w:r>
        <w:t>All times are Singapore time. "BD" means business day after month-end.</w:t>
      </w:r>
    </w:p>
    <w:p>
      <w:r>
        <w:t>Step  Deadline  Owner</w:t>
      </w:r>
    </w:p>
    <w:p>
      <w:r>
        <w:t>Accounts payable cut-off  BD1 12:00  AP Manager</w:t>
      </w:r>
    </w:p>
    <w:p>
      <w:r>
        <w:t>Accounts receivable cut-off  BD1 17:00  AR Manager</w:t>
      </w:r>
    </w:p>
    <w:p>
      <w:r>
        <w:t>Bank reconciliation complete  BD2 17:00  Treasury Analyst</w:t>
      </w:r>
    </w:p>
    <w:p>
      <w:r>
        <w:t>Balance-sheet reconciliations complete  BD3 17:00  Financial Accountant</w:t>
      </w:r>
    </w:p>
    <w:p>
      <w:r>
        <w:t>Variance analysis and commentary  BD4 12:00  FP&amp;A Manager</w:t>
      </w:r>
    </w:p>
    <w:p>
      <w:r>
        <w:t>Controller review and sign-off  BD5 17:00  Financial Controller</w:t>
      </w:r>
    </w:p>
    <w:p>
      <w:r>
        <w:t>Management pack issued  BD6 12:00  FP&amp;A Manager</w:t>
      </w:r>
    </w:p>
    <w:p>
      <w:pPr>
        <w:pStyle w:val="Heading2"/>
      </w:pPr>
      <w:r>
        <w:t>2. Materiality</w:t>
      </w:r>
    </w:p>
    <w:p>
      <w:pPr>
        <w:pStyle w:val="ListBullet"/>
      </w:pPr>
      <w:r>
        <w:t>A variance is **material** if it exceeds **SGD 50,000** or **10%** of budget for the line, whichever is lower.</w:t>
      </w:r>
    </w:p>
    <w:p>
      <w:pPr>
        <w:pStyle w:val="ListBullet"/>
      </w:pPr>
      <w:r>
        <w:t>Every material variance requires a written explanation naming a driver and an owner.</w:t>
      </w:r>
    </w:p>
    <w:p>
      <w:pPr>
        <w:pStyle w:val="ListBullet"/>
      </w:pPr>
      <w:r>
        <w:t>Immaterial variances are aggregated into an "other" line.</w:t>
      </w:r>
    </w:p>
    <w:p>
      <w:pPr>
        <w:pStyle w:val="Heading2"/>
      </w:pPr>
      <w:r>
        <w:t>3. Reconciliation tolerances</w:t>
      </w:r>
    </w:p>
    <w:p>
      <w:pPr>
        <w:pStyle w:val="ListBullet"/>
      </w:pPr>
      <w:r>
        <w:t>**Exact match** — amount and reference both agree.</w:t>
      </w:r>
    </w:p>
    <w:p>
      <w:pPr>
        <w:pStyle w:val="ListBullet"/>
      </w:pPr>
      <w:r>
        <w:t>**Tolerance match** — amount differs by SGD 50 or less; may be auto-cleared with a note.</w:t>
      </w:r>
    </w:p>
    <w:p>
      <w:pPr>
        <w:pStyle w:val="ListBullet"/>
      </w:pPr>
      <w:r>
        <w:t>**Reference-only match** — amount agrees but the bank narrative lost the invoice ID; requires reviewer confirmation.</w:t>
      </w:r>
    </w:p>
    <w:p>
      <w:pPr>
        <w:pStyle w:val="ListBullet"/>
      </w:pPr>
      <w:r>
        <w:t>**Exception** — anything else. Must be aged, owned and explained.</w:t>
      </w:r>
    </w:p>
    <w:p>
      <w:r>
        <w:t>Unreconciled items over SGD 10,000 or older than 60 days are escalated</w:t>
      </w:r>
    </w:p>
    <w:p>
      <w:r>
        <w:t>to the Financial Controller.</w:t>
      </w:r>
    </w:p>
    <w:p>
      <w:pPr>
        <w:pStyle w:val="Heading2"/>
      </w:pPr>
      <w:r>
        <w:t>4. Journal entries</w:t>
      </w:r>
    </w:p>
    <w:p>
      <w:pPr>
        <w:pStyle w:val="ListBullet"/>
      </w:pPr>
      <w:r>
        <w:t>All journals require a preparer and an independent reviewer.</w:t>
      </w:r>
    </w:p>
    <w:p>
      <w:pPr>
        <w:pStyle w:val="ListBullet"/>
      </w:pPr>
      <w:r>
        <w:t>Journals above SGD 100,000 require Financial Controller approval.</w:t>
      </w:r>
    </w:p>
    <w:p>
      <w:pPr>
        <w:pStyle w:val="ListBullet"/>
      </w:pPr>
      <w:r>
        <w:t>**AI agents must never prepare, approve or post a journal entry.** Agents may</w:t>
      </w:r>
    </w:p>
    <w:p>
      <w:r>
        <w:t xml:space="preserve">  assemble supporting evidence and draft a proposed narrative only.</w:t>
      </w:r>
    </w:p>
    <w:p>
      <w:pPr>
        <w:pStyle w:val="Heading2"/>
      </w:pPr>
      <w:r>
        <w:t>5. Evidence retention</w:t>
      </w:r>
    </w:p>
    <w:p>
      <w:r>
        <w:t>Close evidence is retained for 7 years. Each reconciliation must carry the</w:t>
      </w:r>
    </w:p>
    <w:p>
      <w:r>
        <w:t>preparer, reviewer, date and the source extract used.</w:t>
      </w:r>
    </w:p>
    <w:p>
      <w:pPr>
        <w:pStyle w:val="Heading2"/>
      </w:pPr>
      <w:r>
        <w:t>6. Reopening a closed period</w:t>
      </w:r>
    </w:p>
    <w:p>
      <w:r>
        <w:t>A closed period may be reopened only with CFO approval and a documented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