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Northstar Finance — H2 FY2026 Rolling Forecast</w:t>
      </w:r>
    </w:p>
    <w:p>
      <w:r>
        <w:t>Document ID: RPT-FIN-004</w:t>
      </w:r>
    </w:p>
    <w:p>
      <w:r>
        <w:t>Reporting period: FY2026 H1 (January to June 2026)</w:t>
      </w:r>
    </w:p>
    <w:p>
      <w:r>
        <w:t>Data as at: 30 June 2026</w:t>
      </w:r>
    </w:p>
    <w:p>
      <w:r>
        <w:t>Owner: Financial Planning and Analysis Manager</w:t>
      </w:r>
    </w:p>
    <w:p>
      <w:r>
        <w:t>Classification: Internal</w:t>
      </w:r>
    </w:p>
    <w:p>
      <w:r>
        <w:t>Currency: Singapore Dollars (SGD)</w:t>
      </w:r>
    </w:p>
    <w:p>
      <w:r>
        <w:t>Synthetic data created for training (TGS-2026065050). Not real financial results.</w:t>
      </w:r>
    </w:p>
    <w:p>
      <w:pPr>
        <w:pStyle w:val="Heading2"/>
      </w:pPr>
      <w:r>
        <w:t>Summary</w:t>
      </w:r>
    </w:p>
    <w:p>
      <w:r>
        <w:t>The H2 FY2026 base forecast is SGD 5,067,596.73 net profit, extended from H1 actual run rate with a stated 1.8% monthly growth assumption.</w:t>
      </w:r>
    </w:p>
    <w:p>
      <w:r>
        <w:t>Assumptions are management-owned. The downside case applies a 7% reduction to positive lines, the upside a 6% increase.</w:t>
      </w:r>
    </w:p>
    <w:p>
      <w:pPr>
        <w:pStyle w:val="Heading2"/>
      </w:pPr>
      <w:r>
        <w:t>Forecast by month</w:t>
      </w:r>
    </w:p>
    <w:p>
      <w:r>
        <w:t>Month  Downside  Base  Upside</w:t>
      </w:r>
    </w:p>
    <w:p>
      <w:r>
        <w:t>July 2026  SGD 230,289.49  SGD 808,845.01  SGD 1,248,827.93</w:t>
      </w:r>
    </w:p>
    <w:p>
      <w:r>
        <w:t>August 2026  SGD 234,361.43  SGD 823,146.76  SGD 1,270,909.38</w:t>
      </w:r>
    </w:p>
    <w:p>
      <w:r>
        <w:t>September 2026  SGD 238,433.39  SGD 837,448.55  SGD 1,292,990.82</w:t>
      </w:r>
    </w:p>
    <w:p>
      <w:r>
        <w:t>October 2026  SGD 242,505.30  SGD 851,750.36  SGD 1,315,072.27</w:t>
      </w:r>
    </w:p>
    <w:p>
      <w:r>
        <w:t>November 2026  SGD 246,577.19  SGD 866,052.14  SGD 1,337,153.71</w:t>
      </w:r>
    </w:p>
    <w:p>
      <w:r>
        <w:t>December 2026  SGD 250,649.13  SGD 880,353.91  SGD 1,359,235.09</w:t>
      </w:r>
    </w:p>
    <w:p>
      <w:pPr>
        <w:pStyle w:val="Heading2"/>
      </w:pPr>
      <w:r>
        <w:t>Base forecast by department</w:t>
      </w:r>
    </w:p>
    <w:p>
      <w:r>
        <w:t>Department  Base forecast</w:t>
      </w:r>
    </w:p>
    <w:p>
      <w:r>
        <w:t>Digital Payments  SGD 673,999.93</w:t>
      </w:r>
    </w:p>
    <w:p>
      <w:r>
        <w:t>Enterprise  SGD 1,779,651.30</w:t>
      </w:r>
    </w:p>
    <w:p>
      <w:r>
        <w:t>Retail Banking  SGD 1,511,223.96</w:t>
      </w:r>
    </w:p>
    <w:p>
      <w:r>
        <w:t>SME Lending  SGD 1,102,721.54</w:t>
      </w:r>
    </w:p>
    <w:p>
      <w:r>
        <w:t>This forecast is a planning input. It is not approved guidance and must not be presented as a committed outcome.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