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A6A6"/>
          <w:sz w:val="24"/>
        </w:rPr>
        <w:t>TERTIARY INFOTECH ACADEMY</w:t>
      </w:r>
    </w:p>
    <w:p/>
    <w:p>
      <w:pPr>
        <w:jc w:val="center"/>
      </w:pPr>
      <w:r>
        <w:rPr>
          <w:b/>
          <w:color w:val="123A63"/>
          <w:sz w:val="60"/>
        </w:rPr>
        <w:t>Generative AI for Finance and Fintech</w:t>
      </w:r>
    </w:p>
    <w:p>
      <w:pPr>
        <w:jc w:val="center"/>
      </w:pPr>
      <w:r>
        <w:rPr>
          <w:b/>
          <w:color w:val="1473E6"/>
          <w:sz w:val="42"/>
        </w:rPr>
        <w:t>Lesson Plan</w:t>
      </w:r>
    </w:p>
    <w:p>
      <w:pPr>
        <w:jc w:val="center"/>
      </w:pPr>
      <w:r>
        <w:t>Trainer delivery plan aligned to slides, labs and assessment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Course code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TGS-2026065050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TSC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ACC-ICT-5004-1.1 · Digital Technology Adoption and Innovation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v5.0 · 6 September 2026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Organisation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Tertiary Infotech Academy Pte Ltd</w:t>
            </w:r>
          </w:p>
        </w:tc>
      </w:tr>
      <w:tr>
        <w:tc>
          <w:tcPr>
            <w:tcW w:type="dxa" w:w="2376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6768"/>
            <w:shd w:fill="EEF5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</w:tcPr>
          <w:p>
            <w:r>
              <w:t>4 days · 30 classroom hours + 2 assessment hours</w:t>
            </w:r>
          </w:p>
        </w:tc>
      </w:tr>
    </w:tbl>
    <w:p/>
    <w:p>
      <w:pPr>
        <w:jc w:val="center"/>
      </w:pPr>
      <w:r>
        <w:rPr>
          <w:color w:val="607086"/>
        </w:rPr>
        <w:t>Controlled learning document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Change summary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Lesson Plan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5.0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 September 2026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Complete redesign aligned to TGS-2026065050, current Microsoft copilots, finance AI use cases, labs, security and assessment evidence.</w:t>
            </w:r>
          </w:p>
        </w:tc>
      </w:tr>
    </w:tbl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Open in Word and update this field if page numbers change.</w:t>
        <w:fldChar w:fldCharType="end"/>
      </w:r>
    </w:p>
    <w:p>
      <w:r>
        <w:br w:type="page"/>
      </w:r>
    </w:p>
    <w:p>
      <w:pPr>
        <w:pStyle w:val="Heading1"/>
      </w:pPr>
      <w:r>
        <w:t>Delivery specification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Specification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Duration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days; 30 classroom hours plus 2 assessment hours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Delivery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Instructor-led concepts, demonstrations, discussion and individual/group lab work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 60 min + Case Study 60 min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Procedure boundary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remain concept-led; detailed procedures are in the Learner Guide and lab folders</w:t>
            </w:r>
          </w:p>
        </w:tc>
      </w:tr>
    </w:tbl>
    <w:p>
      <w:pPr>
        <w:pStyle w:val="Heading2"/>
      </w:pPr>
      <w:r>
        <w:t>Learning outcomes and evidence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Outcome</w:t>
            </w:r>
          </w:p>
        </w:tc>
        <w:tc>
          <w:tcPr>
            <w:tcW w:type="dxa" w:w="4917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Evidence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LO1: Support Artificial Intelligence (AI) and Generative AI innovations to champion organisation-wide innovation.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1, 2, 3;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LO2: Evaluate and implement GAI technologies for the organisation.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4, 5, 6, 7, 8;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LO3: Review and adopt new GAI technologies by reviewing use cases in finance operations.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7, 8, 9, 10; mapped assessment criteria</w:t>
            </w:r>
          </w:p>
        </w:tc>
      </w:tr>
      <w:tr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LO4: Review AI ethics and governance in organisation processes for proactive risk monitoring and safety.</w:t>
            </w:r>
          </w:p>
        </w:tc>
        <w:tc>
          <w:tcPr>
            <w:tcW w:type="dxa" w:w="4917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mapped assessment criteria</w:t>
            </w:r>
          </w:p>
        </w:tc>
      </w:tr>
      <w:tr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LO5: Review emerging trends in GAI and strategise cost-control measures to support innovation initiatives.</w:t>
            </w:r>
          </w:p>
        </w:tc>
        <w:tc>
          <w:tcPr>
            <w:tcW w:type="dxa" w:w="4917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Labs 11, 12; mapped assessment criteria</w:t>
            </w:r>
          </w:p>
        </w:tc>
      </w:tr>
    </w:tbl>
    <w:p>
      <w:r>
        <w:br w:type="page"/>
      </w:r>
    </w:p>
    <w:p>
      <w:pPr>
        <w:pStyle w:val="Heading1"/>
      </w:pPr>
      <w:r>
        <w:t>Day 1: Generative, Agentic and Agent AI; Copilot in Word, PowerPoint and M365 agents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Attendance, introductions, outcomes, lab accounts and assessment overview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10:00–11:00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1 - History of Generative AI; Generative, Agentic and Agent AI compared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17–54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Finance and fintech use cases for each AI type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12:15–13:15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1 - Compare Generative, Agentic and Agent AI for Finance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1; slide 49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2 - Draft a Financial Report with Copilot in Word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2; slide 51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16:00–17:30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3 - Build a Financial Presentation and an M365 Finance Agent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3; slide 53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Prompt contracts, verification duty and human accountability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2: Excel Copilot for financial analysis, visualisation and dashboards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2 - Copilot in Excel: modes, data readiness and formula audit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55–135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4 - Prepare Finance Data for Copilot in Excel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4; slide 130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13:45–16:15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5 - Analyse Variances and Build a Dashboard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5; slide 132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6 - Reconcile Accounts and Forecast with Copilot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6; slide 134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3: SharePoint for finance, grounded agents and Copilot Studio workflows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09:30–10:30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3 - SharePoint for finance: sites, lists, libraries and permissions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136–168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10:30–10:45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10:45–12:45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7 - Build the Finance SharePoint Site and Load Finance Data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7; slide 165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12:45–13:45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13:45–15:45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8 - Ground a Finance Agent and Test Its Refusals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8; slide 167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15:45–16:00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4 - Copilot Studio environments, agent flows, skills and tools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169–230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16:30–18:30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9 - Create the Environment and a Finance Agent Flow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9; slide 227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r>
        <w:br w:type="page"/>
      </w:r>
    </w:p>
    <w:p>
      <w:pPr>
        <w:pStyle w:val="Heading1"/>
      </w:pPr>
      <w:r>
        <w:t>Day 4: Multi-agent orchestration, AI security, PDPA and assessment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Min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Facilitation and learner activity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Resource / evidence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09:30–11:00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90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10 - Add a Human Approval Gate to a Finance Workflow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10; slide 229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11:00–11:15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Morning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11:15–12:00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5 - Supervisor and connected agents, handoffs and orchestration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231–259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12:00–13:15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75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11 - Orchestrate a Multi-Agent Month-End Close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11; slide 258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13:15–14:15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Lunch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14:15–15:00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Topic 6 - AI security, PDPA, data ownership and human oversight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Slides 260–302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15:00–16:00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12 - Secure a Finance Agent for PDPA and Human Oversight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Lab 12; slide 301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16:00–16:15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Afternoon break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16:15–16:30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15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Assessment briefing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—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16:30–17:30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17:30–18:30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 Assessment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Controlled assessment instrument</w:t>
            </w:r>
          </w:p>
        </w:tc>
      </w:tr>
    </w:tbl>
    <w:p>
      <w:pPr>
        <w:pStyle w:val="Heading2"/>
      </w:pPr>
      <w:r>
        <w:t>Trainer emphasis</w:t>
      </w:r>
    </w:p>
    <w:p>
      <w:pPr>
        <w:pStyle w:val="ListBullet"/>
      </w:pPr>
      <w:r>
        <w:t>Use questions and visuals to surface decision reasoning.</w:t>
      </w:r>
    </w:p>
    <w:p>
      <w:pPr>
        <w:pStyle w:val="ListBullet"/>
      </w:pPr>
      <w:r>
        <w:t>Demonstrate only the minimum interface needed; direct learners to the detailed procedure.</w:t>
      </w:r>
    </w:p>
    <w:p>
      <w:pPr>
        <w:pStyle w:val="ListBullet"/>
      </w:pPr>
      <w:r>
        <w:t>Pause at control totals, approvals, privacy and escalation boundaries.</w:t>
      </w:r>
    </w:p>
    <w:p>
      <w:pPr>
        <w:pStyle w:val="ListBullet"/>
      </w:pPr>
      <w:r>
        <w:t>Confirm evidence against the lab acceptance criteria before moving on.</w:t>
      </w:r>
    </w:p>
    <w:p>
      <w:pPr>
        <w:pStyle w:val="Heading1"/>
      </w:pPr>
      <w:r>
        <w:t>Assessment mapping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9"/>
        <w:gridCol w:w="2459"/>
        <w:gridCol w:w="2459"/>
        <w:gridCol w:w="2459"/>
      </w:tblGrid>
      <w:tr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Instrument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Items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2459"/>
            <w:shd w:fill="123A63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center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Written Assessment (SAQ)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4 open-ended questions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K2, K1, K3, K4</w:t>
            </w:r>
          </w:p>
        </w:tc>
        <w:tc>
          <w:tcPr>
            <w:tcW w:type="dxa" w:w="2459"/>
            <w:shd w:fill="FFFFFF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  <w:tr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Case Study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5 integrated tasks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A1, A2, A3, A4, A5</w:t>
            </w:r>
          </w:p>
        </w:tc>
        <w:tc>
          <w:tcPr>
            <w:tcW w:type="dxa" w:w="2459"/>
            <w:shd w:fill="F7FAFC"/>
            <w:tcBorders>
              <w:top w:val="single" w:sz="5" w:color="D9E2EC"/>
              <w:left w:val="single" w:sz="5" w:color="D9E2EC"/>
              <w:bottom w:val="single" w:sz="5" w:color="D9E2EC"/>
              <w:right w:val="single" w:sz="5" w:color="D9E2EC"/>
              <w:insideH w:val="single" w:sz="5" w:color="D9E2EC"/>
              <w:insideV w:val="single" w:sz="5" w:color="D9E2EC"/>
            </w:tcBorders>
            <w:vAlign w:val="top"/>
          </w:tcPr>
          <w:p>
            <w:r>
              <w:t>60 min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© Tertiary Infotech Academy Pte Ltd  •  v5.0  •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07086"/>
      </w:rPr>
      <w:t>TGS-2026065050  |  Lesson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23A63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473E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A6A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23A6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