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Arial" w:hAnsi="Arial"/>
          <w:b/>
          <w:color w:val="161B26"/>
          <w:sz w:val="26"/>
        </w:rPr>
        <w:t>Tertiary Infotech Academy Pte Ltd</w:t>
      </w:r>
    </w:p>
    <w:p>
      <w:pPr>
        <w:spacing w:after="200"/>
        <w:jc w:val="center"/>
      </w:pPr>
      <w:r>
        <w:rPr>
          <w:rFonts w:ascii="Arial" w:hAnsi="Arial"/>
          <w:b w:val="0"/>
          <w:color w:val="5B6372"/>
          <w:sz w:val="19"/>
        </w:rPr>
        <w:t>UEN: 201200696W</w:t>
      </w:r>
    </w:p>
    <w:p>
      <w:pPr>
        <w:spacing w:after="40"/>
        <w:jc w:val="center"/>
      </w:pPr>
      <w:r>
        <w:rPr>
          <w:rFonts w:ascii="Arial" w:hAnsi="Arial"/>
          <w:b/>
          <w:color w:val="1F6FEB"/>
          <w:sz w:val="52"/>
        </w:rPr>
        <w:t>LESSON PLAN</w:t>
      </w:r>
    </w:p>
    <w:p>
      <w:pPr>
        <w:spacing w:after="200"/>
        <w:jc w:val="center"/>
      </w:pPr>
      <w:r>
        <w:rPr>
          <w:rFonts w:ascii="Arial" w:hAnsi="Arial"/>
          <w:b w:val="0"/>
          <w:color w:val="5B6372"/>
          <w:sz w:val="22"/>
        </w:rPr>
        <w:t>For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188720" cy="1188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sa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after="80"/>
        <w:jc w:val="center"/>
      </w:pPr>
      <w:r>
        <w:rPr>
          <w:rFonts w:ascii="Arial" w:hAnsi="Arial"/>
          <w:b/>
          <w:color w:val="161B26"/>
          <w:sz w:val="40"/>
        </w:rPr>
        <w:t>CompTIA Cybersecurity Analyst (CySA+) Training</w:t>
      </w:r>
    </w:p>
    <w:p>
      <w:pPr>
        <w:spacing w:after="200"/>
        <w:jc w:val="center"/>
      </w:pPr>
      <w:r>
        <w:rPr>
          <w:rFonts w:ascii="Arial" w:hAnsi="Arial"/>
          <w:b w:val="0"/>
          <w:color w:val="161B26"/>
          <w:sz w:val="22"/>
        </w:rPr>
        <w:t>TGS Ref No: TGS-2024049211</w:t>
      </w:r>
    </w:p>
    <w:p>
      <w:pPr>
        <w:spacing w:after="80"/>
        <w:jc w:val="center"/>
      </w:pPr>
      <w:r>
        <w:rPr>
          <w:rFonts w:ascii="Arial" w:hAnsi="Arial"/>
          <w:b/>
          <w:color w:val="1F6FEB"/>
          <w:sz w:val="24"/>
        </w:rPr>
        <w:t>Version 1.0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728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Effective Date</w:t>
            </w:r>
          </w:p>
        </w:tc>
        <w:tc>
          <w:tcPr>
            <w:tcW w:type="dxa" w:w="5184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Summary of Changes</w:t>
            </w:r>
          </w:p>
        </w:tc>
        <w:tc>
          <w:tcPr>
            <w:tcW w:type="dxa" w:w="201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Arial" w:hAnsi="Arial"/>
                <w:color w:val="161B26"/>
                <w:sz w:val="19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color w:val="161B26"/>
                <w:sz w:val="19"/>
              </w:rPr>
              <w:t>6 July 2026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color w:val="161B26"/>
                <w:sz w:val="19"/>
              </w:rPr>
              <w:t>First edition — 5-day lesson plan aligned to the 30 hands-on CySA+ labs, with slide-number references to the Learner Guide Slides deck.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Tertiary Infotech Academy Pte Ltd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Arial" w:hAnsi="Arial"/>
        </w:rPr>
        <w:t>Course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912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592"/>
            <w:shd w:val="clear" w:fill="EEF3FC"/>
          </w:tcPr>
          <w:p>
            <w:r/>
            <w:r>
              <w:rPr>
                <w:rFonts w:ascii="Arial" w:hAnsi="Arial"/>
                <w:b/>
                <w:color w:val="161B26"/>
                <w:sz w:val="19"/>
              </w:rPr>
              <w:t>Course Title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color w:val="161B26"/>
                <w:sz w:val="19"/>
              </w:rPr>
              <w:t>CompTIA Cybersecurity Analyst (CySA+) Training</w:t>
            </w:r>
          </w:p>
        </w:tc>
      </w:tr>
      <w:tr>
        <w:tc>
          <w:tcPr>
            <w:tcW w:type="dxa" w:w="2592"/>
            <w:shd w:val="clear" w:fill="EEF3FC"/>
          </w:tcPr>
          <w:p>
            <w:r/>
            <w:r>
              <w:rPr>
                <w:rFonts w:ascii="Arial" w:hAnsi="Arial"/>
                <w:b/>
                <w:color w:val="161B26"/>
                <w:sz w:val="19"/>
              </w:rPr>
              <w:t>Course Code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color w:val="161B26"/>
                <w:sz w:val="19"/>
              </w:rPr>
              <w:t>TGS-2024049211</w:t>
            </w:r>
          </w:p>
        </w:tc>
      </w:tr>
      <w:tr>
        <w:tc>
          <w:tcPr>
            <w:tcW w:type="dxa" w:w="2592"/>
            <w:shd w:val="clear" w:fill="EEF3FC"/>
          </w:tcPr>
          <w:p>
            <w:r/>
            <w:r>
              <w:rPr>
                <w:rFonts w:ascii="Arial" w:hAnsi="Arial"/>
                <w:b/>
                <w:color w:val="161B26"/>
                <w:sz w:val="19"/>
              </w:rPr>
              <w:t>WSQ TSC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color w:val="161B26"/>
                <w:sz w:val="19"/>
              </w:rPr>
              <w:t>Cyber Risk Management (ICT-SNA-4007-1.1)</w:t>
            </w:r>
          </w:p>
        </w:tc>
      </w:tr>
      <w:tr>
        <w:tc>
          <w:tcPr>
            <w:tcW w:type="dxa" w:w="2592"/>
            <w:shd w:val="clear" w:fill="EEF3FC"/>
          </w:tcPr>
          <w:p>
            <w:r/>
            <w:r>
              <w:rPr>
                <w:rFonts w:ascii="Arial" w:hAnsi="Arial"/>
                <w:b/>
                <w:color w:val="161B26"/>
                <w:sz w:val="19"/>
              </w:rPr>
              <w:t>Duration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color w:val="161B26"/>
                <w:sz w:val="19"/>
              </w:rPr>
              <w:t>5 Days (40 hours)</w:t>
            </w:r>
          </w:p>
        </w:tc>
      </w:tr>
      <w:tr>
        <w:tc>
          <w:tcPr>
            <w:tcW w:type="dxa" w:w="2592"/>
            <w:shd w:val="clear" w:fill="EEF3FC"/>
          </w:tcPr>
          <w:p>
            <w:r/>
            <w:r>
              <w:rPr>
                <w:rFonts w:ascii="Arial" w:hAnsi="Arial"/>
                <w:b/>
                <w:color w:val="161B26"/>
                <w:sz w:val="19"/>
              </w:rPr>
              <w:t>Daily Schedule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color w:val="161B26"/>
                <w:sz w:val="19"/>
              </w:rPr>
              <w:t>9:00 AM – 6:00 PM (8 training hours/day, excluding lunch)</w:t>
            </w:r>
          </w:p>
        </w:tc>
      </w:tr>
      <w:tr>
        <w:tc>
          <w:tcPr>
            <w:tcW w:type="dxa" w:w="2592"/>
            <w:shd w:val="clear" w:fill="EEF3FC"/>
          </w:tcPr>
          <w:p>
            <w:r/>
            <w:r>
              <w:rPr>
                <w:rFonts w:ascii="Arial" w:hAnsi="Arial"/>
                <w:b/>
                <w:color w:val="161B26"/>
                <w:sz w:val="19"/>
              </w:rPr>
              <w:t>Lunch Break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color w:val="161B26"/>
                <w:sz w:val="19"/>
              </w:rPr>
              <w:t>12:30 PM – 1:15 PM (45 minutes)</w:t>
            </w:r>
          </w:p>
        </w:tc>
      </w:tr>
      <w:tr>
        <w:tc>
          <w:tcPr>
            <w:tcW w:type="dxa" w:w="2592"/>
            <w:shd w:val="clear" w:fill="EEF3FC"/>
          </w:tcPr>
          <w:p>
            <w:r/>
            <w:r>
              <w:rPr>
                <w:rFonts w:ascii="Arial" w:hAnsi="Arial"/>
                <w:b/>
                <w:color w:val="161B26"/>
                <w:sz w:val="19"/>
              </w:rPr>
              <w:t>Breaks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color w:val="161B26"/>
                <w:sz w:val="19"/>
              </w:rPr>
              <w:t>Short tea breaks are scheduled within each day's training hours</w:t>
            </w:r>
          </w:p>
        </w:tc>
      </w:tr>
      <w:tr>
        <w:tc>
          <w:tcPr>
            <w:tcW w:type="dxa" w:w="2592"/>
            <w:shd w:val="clear" w:fill="EEF3FC"/>
          </w:tcPr>
          <w:p>
            <w:r/>
            <w:r>
              <w:rPr>
                <w:rFonts w:ascii="Arial" w:hAnsi="Arial"/>
                <w:b/>
                <w:color w:val="161B26"/>
                <w:sz w:val="19"/>
              </w:rPr>
              <w:t>Delivery Mode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color w:val="161B26"/>
                <w:sz w:val="19"/>
              </w:rPr>
              <w:t>Instructor-led presentation, live demonstration and hands-on labs (Killercoda / free tools)</w:t>
            </w:r>
          </w:p>
        </w:tc>
      </w:tr>
      <w:tr>
        <w:tc>
          <w:tcPr>
            <w:tcW w:type="dxa" w:w="2592"/>
            <w:shd w:val="clear" w:fill="EEF3FC"/>
          </w:tcPr>
          <w:p>
            <w:r/>
            <w:r>
              <w:rPr>
                <w:rFonts w:ascii="Arial" w:hAnsi="Arial"/>
                <w:b/>
                <w:color w:val="161B26"/>
                <w:sz w:val="19"/>
              </w:rPr>
              <w:t>Assessment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color w:val="161B26"/>
                <w:sz w:val="19"/>
              </w:rPr>
              <w:t>Written Assessment (SAQ) 1 hr + Case Study (CS) 1 hr — Open Book (Day 5)</w:t>
            </w:r>
          </w:p>
        </w:tc>
      </w:tr>
      <w:tr>
        <w:tc>
          <w:tcPr>
            <w:tcW w:type="dxa" w:w="2592"/>
            <w:shd w:val="clear" w:fill="EEF3FC"/>
          </w:tcPr>
          <w:p>
            <w:r/>
            <w:r>
              <w:rPr>
                <w:rFonts w:ascii="Arial" w:hAnsi="Arial"/>
                <w:b/>
                <w:color w:val="161B26"/>
                <w:sz w:val="19"/>
              </w:rPr>
              <w:t>Prerequisites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color w:val="161B26"/>
                <w:sz w:val="19"/>
              </w:rPr>
              <w:t>Basic networking and Linux command-line familiarity; interest in cybersecurity operations</w:t>
            </w:r>
          </w:p>
        </w:tc>
      </w:tr>
      <w:tr>
        <w:tc>
          <w:tcPr>
            <w:tcW w:type="dxa" w:w="2592"/>
            <w:shd w:val="clear" w:fill="EEF3FC"/>
          </w:tcPr>
          <w:p>
            <w:r/>
            <w:r>
              <w:rPr>
                <w:rFonts w:ascii="Arial" w:hAnsi="Arial"/>
                <w:b/>
                <w:color w:val="161B26"/>
                <w:sz w:val="19"/>
              </w:rPr>
              <w:t>Slide Deck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color w:val="161B26"/>
                <w:sz w:val="19"/>
              </w:rPr>
              <w:t>CompTIA Cybersecurity Analyst (CySA+) Training-v6.pptx (172 slides)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hAnsi="Arial"/>
          <w:b w:val="0"/>
          <w:i/>
          <w:color w:val="5B6372"/>
          <w:sz w:val="19"/>
        </w:rPr>
        <w:t>Note: the 'Slides' column in each daily schedule references the exact slide numbers in the Learner Guide Slides deck for that activity.</w:t>
      </w:r>
    </w:p>
    <w:p>
      <w:pPr>
        <w:pStyle w:val="Heading1"/>
      </w:pPr>
      <w:r>
        <w:rPr>
          <w:rFonts w:ascii="Arial" w:hAnsi="Arial"/>
        </w:rPr>
        <w:t>Course Overview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This 5-day hands-on course develops practical cybersecurity analyst skills aligned to the CompTIA CySA+ CS0-003 exam. Across four domains — Security Operations, Vulnerability Management, Incident Response, and Reporting &amp; Communication — learners complete 30 step-by-step labs using the free Killercoda playground and free industry tools, culminating in a written and case-study assessment.</w:t>
      </w:r>
    </w:p>
    <w:p>
      <w:pPr>
        <w:pStyle w:val="Heading1"/>
      </w:pPr>
      <w:r>
        <w:rPr>
          <w:rFonts w:ascii="Arial" w:hAnsi="Arial"/>
        </w:rPr>
        <w:t>Learning Outcomes</w:t>
      </w:r>
    </w:p>
    <w:p>
      <w:pPr>
        <w:spacing w:after="40"/>
      </w:pPr>
      <w:r>
        <w:rPr>
          <w:rFonts w:ascii="Arial" w:hAnsi="Arial"/>
          <w:b/>
          <w:i w:val="0"/>
          <w:sz w:val="21"/>
        </w:rPr>
        <w:t>By the end of this course, participants will be able to:</w:t>
      </w:r>
    </w:p>
    <w:p>
      <w:pPr>
        <w:pStyle w:val="ListBullet"/>
      </w:pPr>
      <w:r>
        <w:rPr>
          <w:rFonts w:ascii="Arial" w:hAnsi="Arial"/>
          <w:color w:val="161B26"/>
          <w:sz w:val="21"/>
        </w:rPr>
        <w:t>Identify cyber security risks, threats, and vulnerabilities, and assess their impact on the organization.</w:t>
      </w:r>
    </w:p>
    <w:p>
      <w:pPr>
        <w:pStyle w:val="ListBullet"/>
      </w:pPr>
      <w:r>
        <w:rPr>
          <w:rFonts w:ascii="Arial" w:hAnsi="Arial"/>
          <w:color w:val="161B26"/>
          <w:sz w:val="21"/>
        </w:rPr>
        <w:t>Develop cyber risk assessments by consolidating insights from business to identify security gaps.</w:t>
      </w:r>
    </w:p>
    <w:p>
      <w:pPr>
        <w:pStyle w:val="ListBullet"/>
      </w:pPr>
      <w:r>
        <w:rPr>
          <w:rFonts w:ascii="Arial" w:hAnsi="Arial"/>
          <w:color w:val="161B26"/>
          <w:sz w:val="21"/>
        </w:rPr>
        <w:t>Identify possible treatments for identified cyber risks, threats, and vulnerabilities.</w:t>
      </w:r>
    </w:p>
    <w:p>
      <w:pPr>
        <w:pStyle w:val="ListBullet"/>
      </w:pPr>
      <w:r>
        <w:rPr>
          <w:rFonts w:ascii="Arial" w:hAnsi="Arial"/>
          <w:color w:val="161B26"/>
          <w:sz w:val="21"/>
        </w:rPr>
        <w:t>Implement endorsed treatment measures to address security gaps and ensure data protection.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Day 1</w:t>
      </w:r>
    </w:p>
    <w:p>
      <w:pPr>
        <w:spacing w:after="120"/>
      </w:pPr>
      <w:r>
        <w:rPr>
          <w:rFonts w:ascii="Arial" w:hAnsi="Arial"/>
          <w:b w:val="0"/>
          <w:i/>
          <w:color w:val="5B6372"/>
          <w:sz w:val="21"/>
        </w:rPr>
        <w:t>Topic 1: Security Operations</w:t>
      </w:r>
    </w:p>
    <w:p>
      <w:pPr>
        <w:spacing w:after="60"/>
      </w:pPr>
      <w:r>
        <w:rPr>
          <w:rFonts w:ascii="Arial" w:hAnsi="Arial"/>
          <w:b/>
          <w:i w:val="0"/>
          <w:color w:val="1F6FEB"/>
          <w:sz w:val="21"/>
        </w:rPr>
        <w:t>Morning Session  ·  9:00 AM – 12:30 PM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65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5040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224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29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9:00 – 9:20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Digital Attendance (AM); Trainer &amp; Learner Introduction; Ground Rules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20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1–5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9:20 – 9:55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Lesson Plan; Learning Outcomes; Skills Framework; Course Outline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35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6–19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9:55 – 10:15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Final Assessment Briefing; Criteria for Funding; LMS/TMS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20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20–22</w:t>
            </w:r>
          </w:p>
        </w:tc>
      </w:tr>
      <w:tr>
        <w:tc>
          <w:tcPr>
            <w:tcW w:type="dxa" w:w="165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10:15 – 10:30</w:t>
            </w:r>
          </w:p>
        </w:tc>
        <w:tc>
          <w:tcPr>
            <w:tcW w:type="dxa" w:w="5040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Tea Break</w:t>
            </w:r>
          </w:p>
        </w:tc>
        <w:tc>
          <w:tcPr>
            <w:tcW w:type="dxa" w:w="1224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15 min</w:t>
            </w:r>
          </w:p>
        </w:tc>
        <w:tc>
          <w:tcPr>
            <w:tcW w:type="dxa" w:w="129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—</w:t>
            </w:r>
          </w:p>
        </w:tc>
      </w:tr>
      <w:tr>
        <w:tc>
          <w:tcPr>
            <w:tcW w:type="dxa" w:w="1656"/>
            <w:shd w:val="clear" w:fill="EAF1FD"/>
          </w:tcPr>
          <w:p>
            <w:r/>
            <w:r>
              <w:rPr>
                <w:rFonts w:ascii="Arial" w:hAnsi="Arial"/>
                <w:b/>
                <w:color w:val="1F6FEB"/>
                <w:sz w:val="18"/>
              </w:rPr>
            </w:r>
          </w:p>
        </w:tc>
        <w:tc>
          <w:tcPr>
            <w:tcW w:type="dxa" w:w="5040"/>
            <w:shd w:val="clear" w:fill="EAF1FD"/>
          </w:tcPr>
          <w:p>
            <w:r/>
            <w:r>
              <w:rPr>
                <w:rFonts w:ascii="Arial" w:hAnsi="Arial"/>
                <w:b/>
                <w:color w:val="1F6FEB"/>
                <w:sz w:val="18"/>
              </w:rPr>
              <w:t>Topic 1: Security Operations — Topic Overview</w:t>
            </w:r>
          </w:p>
        </w:tc>
        <w:tc>
          <w:tcPr>
            <w:tcW w:type="dxa" w:w="1224"/>
            <w:shd w:val="clear" w:fill="EAF1FD"/>
          </w:tcPr>
          <w:p>
            <w:r/>
            <w:r>
              <w:rPr>
                <w:rFonts w:ascii="Arial" w:hAnsi="Arial"/>
                <w:b/>
                <w:color w:val="1F6FEB"/>
                <w:sz w:val="18"/>
              </w:rPr>
              <w:t>—</w:t>
            </w:r>
          </w:p>
        </w:tc>
        <w:tc>
          <w:tcPr>
            <w:tcW w:type="dxa" w:w="1296"/>
            <w:shd w:val="clear" w:fill="EAF1FD"/>
          </w:tcPr>
          <w:p>
            <w:r/>
            <w:r>
              <w:rPr>
                <w:rFonts w:ascii="Arial" w:hAnsi="Arial"/>
                <w:b/>
                <w:color w:val="1F6FEB"/>
                <w:sz w:val="18"/>
              </w:rPr>
              <w:t>23–24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10:30 – 12:30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Lab 1: Log Ingestion and Time Synchronization; Lab 2: OS Hardening and System Process Inspection; Lab 3: Network Segmentation and Zero Trust; Lab 4: Detecting Malicious Network Activity; Lab 5: Host-Based IOC Hunting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120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25–47</w:t>
            </w:r>
          </w:p>
        </w:tc>
      </w:tr>
      <w:tr>
        <w:tc>
          <w:tcPr>
            <w:tcW w:type="dxa" w:w="165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12:30 – 1:15</w:t>
            </w:r>
          </w:p>
        </w:tc>
        <w:tc>
          <w:tcPr>
            <w:tcW w:type="dxa" w:w="5040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Lunch Break</w:t>
            </w:r>
          </w:p>
        </w:tc>
        <w:tc>
          <w:tcPr>
            <w:tcW w:type="dxa" w:w="1224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45 min</w:t>
            </w:r>
          </w:p>
        </w:tc>
        <w:tc>
          <w:tcPr>
            <w:tcW w:type="dxa" w:w="129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rFonts w:ascii="Arial" w:hAnsi="Arial"/>
          <w:b/>
          <w:i w:val="0"/>
          <w:color w:val="1F6FEB"/>
          <w:sz w:val="21"/>
        </w:rPr>
        <w:t>Afternoon Session  ·  1:15 PM – 6:00 PM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65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5040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224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29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1:15 – 1:20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Digital Attendance (PM)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—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1:20 – 3:30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Lab 6: Packet Capture for Threat Hunting; Lab 7: SIEM Log Correlation; Lab 8: Email Header Analysis (SPF/DKIM/DMARC)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130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48–60</w:t>
            </w:r>
          </w:p>
        </w:tc>
      </w:tr>
      <w:tr>
        <w:tc>
          <w:tcPr>
            <w:tcW w:type="dxa" w:w="165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3:30 – 3:45</w:t>
            </w:r>
          </w:p>
        </w:tc>
        <w:tc>
          <w:tcPr>
            <w:tcW w:type="dxa" w:w="5040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Tea Break</w:t>
            </w:r>
          </w:p>
        </w:tc>
        <w:tc>
          <w:tcPr>
            <w:tcW w:type="dxa" w:w="1224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15 min</w:t>
            </w:r>
          </w:p>
        </w:tc>
        <w:tc>
          <w:tcPr>
            <w:tcW w:type="dxa" w:w="129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—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3:45 – 6:00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Lab 9: Malware Triage with Hashing and VirusTotal; Lab 10: Threat Intelligence and MITRE ATT&amp;CK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135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61–70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6:00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End of Day 1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—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Arial" w:hAnsi="Arial"/>
        </w:rPr>
        <w:t>Day 2</w:t>
      </w:r>
    </w:p>
    <w:p>
      <w:pPr>
        <w:spacing w:after="120"/>
      </w:pPr>
      <w:r>
        <w:rPr>
          <w:rFonts w:ascii="Arial" w:hAnsi="Arial"/>
          <w:b w:val="0"/>
          <w:i/>
          <w:color w:val="5B6372"/>
          <w:sz w:val="21"/>
        </w:rPr>
        <w:t>Topic 2: Vulnerability Management</w:t>
      </w:r>
    </w:p>
    <w:p>
      <w:pPr>
        <w:spacing w:after="60"/>
      </w:pPr>
      <w:r>
        <w:rPr>
          <w:rFonts w:ascii="Arial" w:hAnsi="Arial"/>
          <w:b/>
          <w:i w:val="0"/>
          <w:color w:val="1F6FEB"/>
          <w:sz w:val="21"/>
        </w:rPr>
        <w:t>Morning Session  ·  9:00 AM – 12:30 PM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65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5040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224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29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9:00 – 9:10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Digital Attendance (AM); Recap of previous day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10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—</w:t>
            </w:r>
          </w:p>
        </w:tc>
      </w:tr>
      <w:tr>
        <w:tc>
          <w:tcPr>
            <w:tcW w:type="dxa" w:w="1656"/>
            <w:shd w:val="clear" w:fill="EAF1FD"/>
          </w:tcPr>
          <w:p>
            <w:r/>
            <w:r>
              <w:rPr>
                <w:rFonts w:ascii="Arial" w:hAnsi="Arial"/>
                <w:b/>
                <w:color w:val="1F6FEB"/>
                <w:sz w:val="18"/>
              </w:rPr>
            </w:r>
          </w:p>
        </w:tc>
        <w:tc>
          <w:tcPr>
            <w:tcW w:type="dxa" w:w="5040"/>
            <w:shd w:val="clear" w:fill="EAF1FD"/>
          </w:tcPr>
          <w:p>
            <w:r/>
            <w:r>
              <w:rPr>
                <w:rFonts w:ascii="Arial" w:hAnsi="Arial"/>
                <w:b/>
                <w:color w:val="1F6FEB"/>
                <w:sz w:val="18"/>
              </w:rPr>
              <w:t>Topic 2: Vulnerability Management — Topic Overview</w:t>
            </w:r>
          </w:p>
        </w:tc>
        <w:tc>
          <w:tcPr>
            <w:tcW w:type="dxa" w:w="1224"/>
            <w:shd w:val="clear" w:fill="EAF1FD"/>
          </w:tcPr>
          <w:p>
            <w:r/>
            <w:r>
              <w:rPr>
                <w:rFonts w:ascii="Arial" w:hAnsi="Arial"/>
                <w:b/>
                <w:color w:val="1F6FEB"/>
                <w:sz w:val="18"/>
              </w:rPr>
              <w:t>—</w:t>
            </w:r>
          </w:p>
        </w:tc>
        <w:tc>
          <w:tcPr>
            <w:tcW w:type="dxa" w:w="1296"/>
            <w:shd w:val="clear" w:fill="EAF1FD"/>
          </w:tcPr>
          <w:p>
            <w:r/>
            <w:r>
              <w:rPr>
                <w:rFonts w:ascii="Arial" w:hAnsi="Arial"/>
                <w:b/>
                <w:color w:val="1F6FEB"/>
                <w:sz w:val="18"/>
              </w:rPr>
              <w:t>71–72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9:10 – 10:30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Lab 11: Asset Discovery with Nmap; Lab 12: Vulnerability Scanning with OpenVAS (Greenbone CE); Lab 13: Web App Scanning with OWASP ZAP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80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73–86</w:t>
            </w:r>
          </w:p>
        </w:tc>
      </w:tr>
      <w:tr>
        <w:tc>
          <w:tcPr>
            <w:tcW w:type="dxa" w:w="165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10:30 – 10:45</w:t>
            </w:r>
          </w:p>
        </w:tc>
        <w:tc>
          <w:tcPr>
            <w:tcW w:type="dxa" w:w="5040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Tea Break</w:t>
            </w:r>
          </w:p>
        </w:tc>
        <w:tc>
          <w:tcPr>
            <w:tcW w:type="dxa" w:w="1224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15 min</w:t>
            </w:r>
          </w:p>
        </w:tc>
        <w:tc>
          <w:tcPr>
            <w:tcW w:type="dxa" w:w="129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—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10:45 – 12:30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Lab 14: Web Recon with Nikto and Burp Suite; Lab 15: Metasploit Framework Basics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105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87–95</w:t>
            </w:r>
          </w:p>
        </w:tc>
      </w:tr>
      <w:tr>
        <w:tc>
          <w:tcPr>
            <w:tcW w:type="dxa" w:w="165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12:30 – 1:15</w:t>
            </w:r>
          </w:p>
        </w:tc>
        <w:tc>
          <w:tcPr>
            <w:tcW w:type="dxa" w:w="5040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Lunch Break</w:t>
            </w:r>
          </w:p>
        </w:tc>
        <w:tc>
          <w:tcPr>
            <w:tcW w:type="dxa" w:w="1224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45 min</w:t>
            </w:r>
          </w:p>
        </w:tc>
        <w:tc>
          <w:tcPr>
            <w:tcW w:type="dxa" w:w="129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rFonts w:ascii="Arial" w:hAnsi="Arial"/>
          <w:b/>
          <w:i w:val="0"/>
          <w:color w:val="1F6FEB"/>
          <w:sz w:val="21"/>
        </w:rPr>
        <w:t>Afternoon Session  ·  1:15 PM – 6:00 PM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65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5040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224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29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1:15 – 1:20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Digital Attendance (PM)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—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1:20 – 3:30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Lab 16: CVSS Scoring and Prioritization; Lab 17: Exploiting and Mitigating XSS and SQL Injection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130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96–104</w:t>
            </w:r>
          </w:p>
        </w:tc>
      </w:tr>
      <w:tr>
        <w:tc>
          <w:tcPr>
            <w:tcW w:type="dxa" w:w="165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3:30 – 3:45</w:t>
            </w:r>
          </w:p>
        </w:tc>
        <w:tc>
          <w:tcPr>
            <w:tcW w:type="dxa" w:w="5040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Tea Break</w:t>
            </w:r>
          </w:p>
        </w:tc>
        <w:tc>
          <w:tcPr>
            <w:tcW w:type="dxa" w:w="1224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15 min</w:t>
            </w:r>
          </w:p>
        </w:tc>
        <w:tc>
          <w:tcPr>
            <w:tcW w:type="dxa" w:w="129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—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3:45 – 6:00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Lab 18: Patch Management and Hardening; Lab 19: Attack Surface Reconnaissance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135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105–112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6:00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End of Day 2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—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Arial" w:hAnsi="Arial"/>
        </w:rPr>
        <w:t>Day 3</w:t>
      </w:r>
    </w:p>
    <w:p>
      <w:pPr>
        <w:spacing w:after="120"/>
      </w:pPr>
      <w:r>
        <w:rPr>
          <w:rFonts w:ascii="Arial" w:hAnsi="Arial"/>
          <w:b w:val="0"/>
          <w:i/>
          <w:color w:val="5B6372"/>
          <w:sz w:val="21"/>
        </w:rPr>
        <w:t>Topic 3: Incident Response and Management</w:t>
      </w:r>
    </w:p>
    <w:p>
      <w:pPr>
        <w:spacing w:after="60"/>
      </w:pPr>
      <w:r>
        <w:rPr>
          <w:rFonts w:ascii="Arial" w:hAnsi="Arial"/>
          <w:b/>
          <w:i w:val="0"/>
          <w:color w:val="1F6FEB"/>
          <w:sz w:val="21"/>
        </w:rPr>
        <w:t>Morning Session  ·  9:00 AM – 12:30 PM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65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5040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224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29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9:00 – 9:10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Digital Attendance (AM); Recap of previous day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10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—</w:t>
            </w:r>
          </w:p>
        </w:tc>
      </w:tr>
      <w:tr>
        <w:tc>
          <w:tcPr>
            <w:tcW w:type="dxa" w:w="1656"/>
            <w:shd w:val="clear" w:fill="EAF1FD"/>
          </w:tcPr>
          <w:p>
            <w:r/>
            <w:r>
              <w:rPr>
                <w:rFonts w:ascii="Arial" w:hAnsi="Arial"/>
                <w:b/>
                <w:color w:val="1F6FEB"/>
                <w:sz w:val="18"/>
              </w:rPr>
            </w:r>
          </w:p>
        </w:tc>
        <w:tc>
          <w:tcPr>
            <w:tcW w:type="dxa" w:w="5040"/>
            <w:shd w:val="clear" w:fill="EAF1FD"/>
          </w:tcPr>
          <w:p>
            <w:r/>
            <w:r>
              <w:rPr>
                <w:rFonts w:ascii="Arial" w:hAnsi="Arial"/>
                <w:b/>
                <w:color w:val="1F6FEB"/>
                <w:sz w:val="18"/>
              </w:rPr>
              <w:t>Topic 3: Incident Response and Management — Topic Overview</w:t>
            </w:r>
          </w:p>
        </w:tc>
        <w:tc>
          <w:tcPr>
            <w:tcW w:type="dxa" w:w="1224"/>
            <w:shd w:val="clear" w:fill="EAF1FD"/>
          </w:tcPr>
          <w:p>
            <w:r/>
            <w:r>
              <w:rPr>
                <w:rFonts w:ascii="Arial" w:hAnsi="Arial"/>
                <w:b/>
                <w:color w:val="1F6FEB"/>
                <w:sz w:val="18"/>
              </w:rPr>
              <w:t>—</w:t>
            </w:r>
          </w:p>
        </w:tc>
        <w:tc>
          <w:tcPr>
            <w:tcW w:type="dxa" w:w="1296"/>
            <w:shd w:val="clear" w:fill="EAF1FD"/>
          </w:tcPr>
          <w:p>
            <w:r/>
            <w:r>
              <w:rPr>
                <w:rFonts w:ascii="Arial" w:hAnsi="Arial"/>
                <w:b/>
                <w:color w:val="1F6FEB"/>
                <w:sz w:val="18"/>
              </w:rPr>
              <w:t>113–114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9:10 – 10:30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Lab 20: Cyber Kill Chain and ATT&amp;CK Mapping; Lab 21: Evidence Acquisition and Chain of Custody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80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115–124</w:t>
            </w:r>
          </w:p>
        </w:tc>
      </w:tr>
      <w:tr>
        <w:tc>
          <w:tcPr>
            <w:tcW w:type="dxa" w:w="165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10:30 – 10:45</w:t>
            </w:r>
          </w:p>
        </w:tc>
        <w:tc>
          <w:tcPr>
            <w:tcW w:type="dxa" w:w="5040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Tea Break</w:t>
            </w:r>
          </w:p>
        </w:tc>
        <w:tc>
          <w:tcPr>
            <w:tcW w:type="dxa" w:w="1224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15 min</w:t>
            </w:r>
          </w:p>
        </w:tc>
        <w:tc>
          <w:tcPr>
            <w:tcW w:type="dxa" w:w="129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—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10:45 – 12:30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Lab 22: Memory Forensics with Volatility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105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125–129</w:t>
            </w:r>
          </w:p>
        </w:tc>
      </w:tr>
      <w:tr>
        <w:tc>
          <w:tcPr>
            <w:tcW w:type="dxa" w:w="165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12:30 – 1:15</w:t>
            </w:r>
          </w:p>
        </w:tc>
        <w:tc>
          <w:tcPr>
            <w:tcW w:type="dxa" w:w="5040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Lunch Break</w:t>
            </w:r>
          </w:p>
        </w:tc>
        <w:tc>
          <w:tcPr>
            <w:tcW w:type="dxa" w:w="1224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45 min</w:t>
            </w:r>
          </w:p>
        </w:tc>
        <w:tc>
          <w:tcPr>
            <w:tcW w:type="dxa" w:w="129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rFonts w:ascii="Arial" w:hAnsi="Arial"/>
          <w:b/>
          <w:i w:val="0"/>
          <w:color w:val="1F6FEB"/>
          <w:sz w:val="21"/>
        </w:rPr>
        <w:t>Afternoon Session  ·  1:15 PM – 6:00 PM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65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5040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224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29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1:15 – 1:20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Digital Attendance (PM)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—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1:20 – 3:30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Lab 23: Log Analysis for Incident Response; Lab 24: Containment with Host Isolation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130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130–138</w:t>
            </w:r>
          </w:p>
        </w:tc>
      </w:tr>
      <w:tr>
        <w:tc>
          <w:tcPr>
            <w:tcW w:type="dxa" w:w="165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3:30 – 3:45</w:t>
            </w:r>
          </w:p>
        </w:tc>
        <w:tc>
          <w:tcPr>
            <w:tcW w:type="dxa" w:w="5040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Tea Break</w:t>
            </w:r>
          </w:p>
        </w:tc>
        <w:tc>
          <w:tcPr>
            <w:tcW w:type="dxa" w:w="1224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15 min</w:t>
            </w:r>
          </w:p>
        </w:tc>
        <w:tc>
          <w:tcPr>
            <w:tcW w:type="dxa" w:w="129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—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3:45 – 6:00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Lab 25: Incident Response Playbook and Tabletop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135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139–143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6:00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End of Day 3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—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Arial" w:hAnsi="Arial"/>
        </w:rPr>
        <w:t>Day 4</w:t>
      </w:r>
    </w:p>
    <w:p>
      <w:pPr>
        <w:spacing w:after="120"/>
      </w:pPr>
      <w:r>
        <w:rPr>
          <w:rFonts w:ascii="Arial" w:hAnsi="Arial"/>
          <w:b w:val="0"/>
          <w:i/>
          <w:color w:val="5B6372"/>
          <w:sz w:val="21"/>
        </w:rPr>
        <w:t>Topic 4: Reporting and Communication</w:t>
      </w:r>
    </w:p>
    <w:p>
      <w:pPr>
        <w:spacing w:after="60"/>
      </w:pPr>
      <w:r>
        <w:rPr>
          <w:rFonts w:ascii="Arial" w:hAnsi="Arial"/>
          <w:b/>
          <w:i w:val="0"/>
          <w:color w:val="1F6FEB"/>
          <w:sz w:val="21"/>
        </w:rPr>
        <w:t>Morning Session  ·  9:00 AM – 12:30 PM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65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5040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224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29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9:00 – 9:10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Digital Attendance (AM); Recap of previous day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10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—</w:t>
            </w:r>
          </w:p>
        </w:tc>
      </w:tr>
      <w:tr>
        <w:tc>
          <w:tcPr>
            <w:tcW w:type="dxa" w:w="1656"/>
            <w:shd w:val="clear" w:fill="EAF1FD"/>
          </w:tcPr>
          <w:p>
            <w:r/>
            <w:r>
              <w:rPr>
                <w:rFonts w:ascii="Arial" w:hAnsi="Arial"/>
                <w:b/>
                <w:color w:val="1F6FEB"/>
                <w:sz w:val="18"/>
              </w:rPr>
            </w:r>
          </w:p>
        </w:tc>
        <w:tc>
          <w:tcPr>
            <w:tcW w:type="dxa" w:w="5040"/>
            <w:shd w:val="clear" w:fill="EAF1FD"/>
          </w:tcPr>
          <w:p>
            <w:r/>
            <w:r>
              <w:rPr>
                <w:rFonts w:ascii="Arial" w:hAnsi="Arial"/>
                <w:b/>
                <w:color w:val="1F6FEB"/>
                <w:sz w:val="18"/>
              </w:rPr>
              <w:t>Topic 4: Reporting and Communication — Topic Overview</w:t>
            </w:r>
          </w:p>
        </w:tc>
        <w:tc>
          <w:tcPr>
            <w:tcW w:type="dxa" w:w="1224"/>
            <w:shd w:val="clear" w:fill="EAF1FD"/>
          </w:tcPr>
          <w:p>
            <w:r/>
            <w:r>
              <w:rPr>
                <w:rFonts w:ascii="Arial" w:hAnsi="Arial"/>
                <w:b/>
                <w:color w:val="1F6FEB"/>
                <w:sz w:val="18"/>
              </w:rPr>
              <w:t>—</w:t>
            </w:r>
          </w:p>
        </w:tc>
        <w:tc>
          <w:tcPr>
            <w:tcW w:type="dxa" w:w="1296"/>
            <w:shd w:val="clear" w:fill="EAF1FD"/>
          </w:tcPr>
          <w:p>
            <w:r/>
            <w:r>
              <w:rPr>
                <w:rFonts w:ascii="Arial" w:hAnsi="Arial"/>
                <w:b/>
                <w:color w:val="1F6FEB"/>
                <w:sz w:val="18"/>
              </w:rPr>
              <w:t>144–145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9:10 – 10:30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Lab 26: Vulnerability Management Report; Lab 27: Executive Incident Report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80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146–152</w:t>
            </w:r>
          </w:p>
        </w:tc>
      </w:tr>
      <w:tr>
        <w:tc>
          <w:tcPr>
            <w:tcW w:type="dxa" w:w="165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10:30 – 10:45</w:t>
            </w:r>
          </w:p>
        </w:tc>
        <w:tc>
          <w:tcPr>
            <w:tcW w:type="dxa" w:w="5040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Tea Break</w:t>
            </w:r>
          </w:p>
        </w:tc>
        <w:tc>
          <w:tcPr>
            <w:tcW w:type="dxa" w:w="1224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15 min</w:t>
            </w:r>
          </w:p>
        </w:tc>
        <w:tc>
          <w:tcPr>
            <w:tcW w:type="dxa" w:w="129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—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10:45 – 12:30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Lab 28: Security Metrics Dashboard (MTTD / MTTR)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105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153–156</w:t>
            </w:r>
          </w:p>
        </w:tc>
      </w:tr>
      <w:tr>
        <w:tc>
          <w:tcPr>
            <w:tcW w:type="dxa" w:w="165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12:30 – 1:15</w:t>
            </w:r>
          </w:p>
        </w:tc>
        <w:tc>
          <w:tcPr>
            <w:tcW w:type="dxa" w:w="5040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Lunch Break</w:t>
            </w:r>
          </w:p>
        </w:tc>
        <w:tc>
          <w:tcPr>
            <w:tcW w:type="dxa" w:w="1224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45 min</w:t>
            </w:r>
          </w:p>
        </w:tc>
        <w:tc>
          <w:tcPr>
            <w:tcW w:type="dxa" w:w="129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rFonts w:ascii="Arial" w:hAnsi="Arial"/>
          <w:b/>
          <w:i w:val="0"/>
          <w:color w:val="1F6FEB"/>
          <w:sz w:val="21"/>
        </w:rPr>
        <w:t>Afternoon Session  ·  1:15 PM – 6:00 PM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65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5040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224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29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1:15 – 1:20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Digital Attendance (PM)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—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1:20 – 3:30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Lab 29: Compliance Reporting (PCI DSS / ISO 27001 / NIST CSF)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130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157–160</w:t>
            </w:r>
          </w:p>
        </w:tc>
      </w:tr>
      <w:tr>
        <w:tc>
          <w:tcPr>
            <w:tcW w:type="dxa" w:w="165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3:30 – 3:45</w:t>
            </w:r>
          </w:p>
        </w:tc>
        <w:tc>
          <w:tcPr>
            <w:tcW w:type="dxa" w:w="5040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Tea Break</w:t>
            </w:r>
          </w:p>
        </w:tc>
        <w:tc>
          <w:tcPr>
            <w:tcW w:type="dxa" w:w="1224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15 min</w:t>
            </w:r>
          </w:p>
        </w:tc>
        <w:tc>
          <w:tcPr>
            <w:tcW w:type="dxa" w:w="129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—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3:45 – 6:00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Lab 30: Stakeholder Communication and Lessons Learned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135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161–164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6:00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End of Day 4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—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Arial" w:hAnsi="Arial"/>
        </w:rPr>
        <w:t>Day 5</w:t>
      </w:r>
    </w:p>
    <w:p>
      <w:pPr>
        <w:spacing w:after="120"/>
      </w:pPr>
      <w:r>
        <w:rPr>
          <w:rFonts w:ascii="Arial" w:hAnsi="Arial"/>
          <w:b w:val="0"/>
          <w:i/>
          <w:color w:val="5B6372"/>
          <w:sz w:val="21"/>
        </w:rPr>
        <w:t>Revision and Final Assessment</w:t>
      </w:r>
    </w:p>
    <w:p>
      <w:pPr>
        <w:spacing w:after="60"/>
      </w:pPr>
      <w:r>
        <w:rPr>
          <w:rFonts w:ascii="Arial" w:hAnsi="Arial"/>
          <w:b/>
          <w:i w:val="0"/>
          <w:color w:val="1F6FEB"/>
          <w:sz w:val="21"/>
        </w:rPr>
        <w:t>Morning Session  ·  9:00 AM – 12:30 PM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65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5040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224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29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9:00 – 9:10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Digital Attendance (AM)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10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—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9:10 – 10:30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Revision: Topic 1 Security Operations &amp; Topic 2 Vulnerability Management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80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25–70, 73–112</w:t>
            </w:r>
          </w:p>
        </w:tc>
      </w:tr>
      <w:tr>
        <w:tc>
          <w:tcPr>
            <w:tcW w:type="dxa" w:w="165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10:30 – 10:45</w:t>
            </w:r>
          </w:p>
        </w:tc>
        <w:tc>
          <w:tcPr>
            <w:tcW w:type="dxa" w:w="5040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Tea Break</w:t>
            </w:r>
          </w:p>
        </w:tc>
        <w:tc>
          <w:tcPr>
            <w:tcW w:type="dxa" w:w="1224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15 min</w:t>
            </w:r>
          </w:p>
        </w:tc>
        <w:tc>
          <w:tcPr>
            <w:tcW w:type="dxa" w:w="129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—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10:45 – 12:30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Revision: Topic 3 Incident Response &amp; Topic 4 Reporting; Practice Exams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105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115–143, 146–164, 165</w:t>
            </w:r>
          </w:p>
        </w:tc>
      </w:tr>
      <w:tr>
        <w:tc>
          <w:tcPr>
            <w:tcW w:type="dxa" w:w="165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12:30 – 1:15</w:t>
            </w:r>
          </w:p>
        </w:tc>
        <w:tc>
          <w:tcPr>
            <w:tcW w:type="dxa" w:w="5040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Lunch Break</w:t>
            </w:r>
          </w:p>
        </w:tc>
        <w:tc>
          <w:tcPr>
            <w:tcW w:type="dxa" w:w="1224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45 min</w:t>
            </w:r>
          </w:p>
        </w:tc>
        <w:tc>
          <w:tcPr>
            <w:tcW w:type="dxa" w:w="129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rFonts w:ascii="Arial" w:hAnsi="Arial"/>
          <w:b/>
          <w:i w:val="0"/>
          <w:color w:val="1F6FEB"/>
          <w:sz w:val="21"/>
        </w:rPr>
        <w:t>Afternoon Session  ·  1:15 PM – 6:00 PM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65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5040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224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29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1:15 – 1:20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Digital Attendance (PM)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—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1:20 – 3:30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Q&amp;A; Summary; exam techniques; Course Feedback &amp; TRAQOM Survey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130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166–168</w:t>
            </w:r>
          </w:p>
        </w:tc>
      </w:tr>
      <w:tr>
        <w:tc>
          <w:tcPr>
            <w:tcW w:type="dxa" w:w="165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3:30 – 3:45</w:t>
            </w:r>
          </w:p>
        </w:tc>
        <w:tc>
          <w:tcPr>
            <w:tcW w:type="dxa" w:w="5040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Tea Break</w:t>
            </w:r>
          </w:p>
        </w:tc>
        <w:tc>
          <w:tcPr>
            <w:tcW w:type="dxa" w:w="1224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15 min</w:t>
            </w:r>
          </w:p>
        </w:tc>
        <w:tc>
          <w:tcPr>
            <w:tcW w:type="dxa" w:w="1296"/>
            <w:shd w:val="clear" w:fill="FDF3E7"/>
          </w:tcPr>
          <w:p>
            <w:r/>
            <w:r>
              <w:rPr>
                <w:rFonts w:ascii="Arial" w:hAnsi="Arial"/>
                <w:i/>
                <w:color w:val="5B6372"/>
                <w:sz w:val="18"/>
              </w:rPr>
              <w:t>—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3:45 – 4:00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Assessment Briefing; Digital Attendance (Assessment)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169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4:00 – 6:00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Final Assessment: Written (SAQ) 1 hr + Case Study (CS) 1 hr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120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—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color w:val="161B26"/>
                <w:sz w:val="18"/>
              </w:rPr>
              <w:t>6:00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61B26"/>
                <w:sz w:val="18"/>
              </w:rPr>
              <w:t>End of Class; Recommended Courses; Support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color w:val="161B26"/>
                <w:sz w:val="18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8"/>
              </w:rPr>
              <w:t>170–172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Arial" w:hAnsi="Arial"/>
        </w:rPr>
        <w:t>Slide Reference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561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1296"/>
            <w:shd w:val="clear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Front Admin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Title, Attendance, Ground Rules, Lesson Plan, Skills Framework, Learning Outcomes, Course Outline, Assessment, Funding, LMS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1–22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Topic 1: Security Operations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Section + Overview + Labs 1–10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25–70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Topic 2: Vulnerability Management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Section + Overview + Labs 11–19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73–112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Topic 3: Incident Response and Management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Section + Overview + Labs 20–25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115–143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Topic 4: Reporting and Communication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Section + Overview + Labs 26–30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146–164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1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Log Ingestion and Time Synchronization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25–29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2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OS Hardening and System Process Inspection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30–33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3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Network Segmentation and Zero Trust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34–38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4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Detecting Malicious Network Activity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39–42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5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Host-Based IOC Hunting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43–47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6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Packet Capture for Threat Hunting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48–52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7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SIEM Log Correlation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53–56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8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Email Header Analysis (SPF/DKIM/DMARC)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57–60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9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Malware Triage with Hashing and VirusTotal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61–65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10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Threat Intelligence and MITRE ATT&amp;CK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66–70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11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Asset Discovery with Nmap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73–77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12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Vulnerability Scanning with OpenVAS (Greenbone CE)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78–82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13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Web App Scanning with OWASP ZAP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83–86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14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Web Recon with Nikto and Burp Suite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87–90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15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Metasploit Framework Basics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91–95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16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CVSS Scoring and Prioritization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96–99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17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Exploiting and Mitigating XSS and SQL Injection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100–104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18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Patch Management and Hardening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105–108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19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Attack Surface Reconnaissance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109–112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20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Cyber Kill Chain and ATT&amp;CK Mapping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115–119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21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Evidence Acquisition and Chain of Custody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120–124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22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Memory Forensics with Volatility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125–129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23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Log Analysis for Incident Response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130–134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24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Containment with Host Isolation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135–138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25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Incident Response Playbook and Tabletop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139–143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26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Vulnerability Management Report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146–149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27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Executive Incident Report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150–152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28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Security Metrics Dashboard (MTTD / MTTR)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153–156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29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Compliance Reporting (PCI DSS / ISO 27001 / NIST CSF)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157–160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Lab 30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Stakeholder Communication and Lessons Learned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161–164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Arial" w:hAnsi="Arial"/>
                <w:color w:val="161B26"/>
                <w:sz w:val="19"/>
              </w:rPr>
              <w:t>Back Admin</w:t>
            </w:r>
          </w:p>
        </w:tc>
        <w:tc>
          <w:tcPr>
            <w:tcW w:type="dxa" w:w="5616"/>
          </w:tcPr>
          <w:p>
            <w:r/>
            <w:r>
              <w:rPr>
                <w:rFonts w:ascii="Arial" w:hAnsi="Arial"/>
                <w:color w:val="161B26"/>
                <w:sz w:val="19"/>
              </w:rPr>
              <w:t>Practice Exams, Summary/Q&amp;A, TRAQOM, Attendance, Final Assessment, Recommended Courses, Support, Thank You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color w:val="161B26"/>
                <w:sz w:val="19"/>
              </w:rPr>
              <w:t>165–172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11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B6372"/>
        <w:sz w:val="17"/>
      </w:rPr>
      <w:t xml:space="preserve">Page </w:t>
    </w:r>
    <w:r>
      <w:rPr>
        <w:color w:val="5B6372"/>
        <w:sz w:val="17"/>
      </w:rPr>
      <w:fldChar w:fldCharType="begin"/>
      <w:instrText xml:space="preserve">PAGE</w:instrText>
      <w:fldChar w:fldCharType="end"/>
    </w:r>
    <w:r>
      <w:rPr>
        <w:rFonts w:ascii="Arial" w:hAnsi="Arial"/>
        <w:color w:val="5B6372"/>
        <w:sz w:val="17"/>
      </w:rPr>
      <w:t xml:space="preserve"> of </w:t>
    </w:r>
    <w:r>
      <w:rPr>
        <w:color w:val="5B6372"/>
        <w:sz w:val="17"/>
      </w:rPr>
      <w:fldChar w:fldCharType="begin"/>
      <w:instrText xml:space="preserve">NUMPAGES</w:instrText>
      <w:fldChar w:fldCharType="end"/>
    </w:r>
  </w:p>
  <w:p>
    <w:pPr>
      <w:jc w:val="center"/>
    </w:pPr>
    <w:r>
      <w:rPr>
        <w:rFonts w:ascii="Arial" w:hAnsi="Arial"/>
        <w:color w:val="5B6372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61B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6FE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