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773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01-pic-01-0e1b4a754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3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Electrostatic Discharge (ESD) Control for Lab and Factory Engineers and Managers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TGS-2024051412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Legacy two-day outline.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Rebuilt two-day plan aligned to the v3.0 slide map, eight activities and WA plus Case Study.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Updated slide map for the logically sequenced v3.1 deck with integrated ESD photographs and contextual technical figures.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8"/>
        </w:rPr>
        <w:t>Course Overview</w:t>
        <w:tab/>
        <w:t>4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8"/>
        </w:rPr>
        <w:t>Learning Outcomes</w:t>
        <w:tab/>
        <w:t>4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8"/>
        </w:rPr>
        <w:t>Day 1 Schedule</w:t>
        <w:tab/>
        <w:t>4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8"/>
        </w:rPr>
        <w:t>Day 2 Schedule</w:t>
        <w:tab/>
        <w:t>4</w:t>
      </w:r>
    </w:p>
    <w:p>
      <w:pPr>
        <w:tabs>
          <w:tab w:pos="9072" w:val="right" w:leader="dot"/>
        </w:tabs>
        <w:spacing w:after="0" w:line="240" w:lineRule="auto"/>
      </w:pPr>
      <w:r>
        <w:rPr>
          <w:rFonts w:ascii="Arial" w:hAnsi="Arial"/>
          <w:b/>
          <w:color w:val="333333"/>
          <w:sz w:val="18"/>
        </w:rPr>
        <w:t>Activity and Assessment Alignment</w:t>
        <w:tab/>
        <w:t>5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Two-day WSQ programme. TSC: Electrostatic Discharge Control (ELE-OPR-4002-1.1). Assessment: Written Assessment (SAQ) — 4 open-ended questions, K1–K4, 1 hour, open book. Case Study (CS) — 2 open-ended tasks, A1–A3, 1 hour, open book.</w:t>
      </w:r>
    </w:p>
    <w:p>
      <w:pPr>
        <w:pStyle w:val="Heading1"/>
      </w:pPr>
      <w:r>
        <w:t>Learning Outcomes</w:t>
      </w:r>
    </w:p>
    <w:p>
      <w:pPr>
        <w:pStyle w:val="ListBullet"/>
        <w:spacing w:after="60"/>
      </w:pPr>
      <w:r>
        <w:t>LO1: Apply control measures to manage ESD generation based on ESD principles.</w:t>
      </w:r>
    </w:p>
    <w:p>
      <w:pPr>
        <w:pStyle w:val="ListBullet"/>
        <w:spacing w:after="60"/>
      </w:pPr>
      <w:r>
        <w:t>LO2: Evaluate and recommend actions to improve ESD control effectiveness in accordance with ESD standards.</w:t>
      </w:r>
    </w:p>
    <w:p>
      <w:pPr>
        <w:pStyle w:val="Heading1"/>
      </w:pPr>
      <w:r>
        <w:t>Day 1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3408"/>
            <w:shd w:fill="1F6FEB"/>
          </w:tcPr>
          <w:p>
            <w:r>
              <w:rPr>
                <w:b/>
                <w:color w:val="FFFFFF"/>
              </w:rPr>
              <w:t>Session / learning activity</w:t>
            </w:r>
          </w:p>
        </w:tc>
        <w:tc>
          <w:tcPr>
            <w:tcW w:type="dxa" w:w="3408"/>
            <w:shd w:fill="1F6FEB"/>
          </w:tcPr>
          <w:p>
            <w:r>
              <w:rPr>
                <w:b/>
                <w:color w:val="FFFFFF"/>
              </w:rPr>
              <w:t>Slide reference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09:00–09:30</w:t>
            </w:r>
          </w:p>
        </w:tc>
        <w:tc>
          <w:tcPr>
            <w:tcW w:type="dxa" w:w="3408"/>
            <w:vAlign w:val="center"/>
          </w:tcPr>
          <w:p>
            <w:r>
              <w:t>Digital attendance, introductions and course briefing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09:30–10:30</w:t>
            </w:r>
          </w:p>
        </w:tc>
        <w:tc>
          <w:tcPr>
            <w:tcW w:type="dxa" w:w="3408"/>
            <w:vAlign w:val="center"/>
          </w:tcPr>
          <w:p>
            <w:r>
              <w:t>Module 1: charge generation, discharge paths and models</w:t>
            </w:r>
          </w:p>
        </w:tc>
        <w:tc>
          <w:tcPr>
            <w:tcW w:type="dxa" w:w="3408"/>
            <w:vAlign w:val="center"/>
          </w:tcPr>
          <w:p>
            <w:r>
              <w:t>15–49</w:t>
            </w:r>
          </w:p>
        </w:tc>
      </w:tr>
      <w:tr>
        <w:tc>
          <w:tcPr>
            <w:tcW w:type="dxa" w:w="3408"/>
            <w:vAlign w:val="center"/>
          </w:tcPr>
          <w:p>
            <w:r>
              <w:t>10:30–10:40</w:t>
            </w:r>
          </w:p>
        </w:tc>
        <w:tc>
          <w:tcPr>
            <w:tcW w:type="dxa" w:w="3408"/>
            <w:vAlign w:val="center"/>
          </w:tcPr>
          <w:p>
            <w:r>
              <w:t>Morning break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10:40–12:15</w:t>
            </w:r>
          </w:p>
        </w:tc>
        <w:tc>
          <w:tcPr>
            <w:tcW w:type="dxa" w:w="3408"/>
            <w:vAlign w:val="center"/>
          </w:tcPr>
          <w:p>
            <w:r>
              <w:t>Failure modes, exposure points and business impact</w:t>
            </w:r>
          </w:p>
        </w:tc>
        <w:tc>
          <w:tcPr>
            <w:tcW w:type="dxa" w:w="3408"/>
            <w:vAlign w:val="center"/>
          </w:tcPr>
          <w:p>
            <w:r>
              <w:t>15–49</w:t>
            </w:r>
          </w:p>
        </w:tc>
      </w:tr>
      <w:tr>
        <w:tc>
          <w:tcPr>
            <w:tcW w:type="dxa" w:w="3408"/>
            <w:vAlign w:val="center"/>
          </w:tcPr>
          <w:p>
            <w:r>
              <w:t>12:15–13:00</w:t>
            </w:r>
          </w:p>
        </w:tc>
        <w:tc>
          <w:tcPr>
            <w:tcW w:type="dxa" w:w="3408"/>
            <w:vAlign w:val="center"/>
          </w:tcPr>
          <w:p>
            <w:r>
              <w:t>Activities 1–2: hazard hunt and failure triage</w:t>
            </w:r>
          </w:p>
        </w:tc>
        <w:tc>
          <w:tcPr>
            <w:tcW w:type="dxa" w:w="3408"/>
            <w:vAlign w:val="center"/>
          </w:tcPr>
          <w:p>
            <w:r>
              <w:t>15–49, A1: 43–45, A2: 46–48</w:t>
            </w:r>
          </w:p>
        </w:tc>
      </w:tr>
      <w:tr>
        <w:tc>
          <w:tcPr>
            <w:tcW w:type="dxa" w:w="3408"/>
            <w:vAlign w:val="center"/>
          </w:tcPr>
          <w:p>
            <w:r>
              <w:t>13:00–13:45</w:t>
            </w:r>
          </w:p>
        </w:tc>
        <w:tc>
          <w:tcPr>
            <w:tcW w:type="dxa" w:w="3408"/>
            <w:vAlign w:val="center"/>
          </w:tcPr>
          <w:p>
            <w:r>
              <w:t>Lunch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13:45–15:15</w:t>
            </w:r>
          </w:p>
        </w:tc>
        <w:tc>
          <w:tcPr>
            <w:tcW w:type="dxa" w:w="3408"/>
            <w:vAlign w:val="center"/>
          </w:tcPr>
          <w:p>
            <w:r>
              <w:t>Module 2: EPA, grounding, personnel and worksurface controls</w:t>
            </w:r>
          </w:p>
        </w:tc>
        <w:tc>
          <w:tcPr>
            <w:tcW w:type="dxa" w:w="3408"/>
            <w:vAlign w:val="center"/>
          </w:tcPr>
          <w:p>
            <w:r>
              <w:t>50–77</w:t>
            </w:r>
          </w:p>
        </w:tc>
      </w:tr>
      <w:tr>
        <w:tc>
          <w:tcPr>
            <w:tcW w:type="dxa" w:w="3408"/>
            <w:vAlign w:val="center"/>
          </w:tcPr>
          <w:p>
            <w:r>
              <w:t>15:15–15:25</w:t>
            </w:r>
          </w:p>
        </w:tc>
        <w:tc>
          <w:tcPr>
            <w:tcW w:type="dxa" w:w="3408"/>
            <w:vAlign w:val="center"/>
          </w:tcPr>
          <w:p>
            <w:r>
              <w:t>Afternoon break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15:25–16:45</w:t>
            </w:r>
          </w:p>
        </w:tc>
        <w:tc>
          <w:tcPr>
            <w:tcW w:type="dxa" w:w="3408"/>
            <w:vAlign w:val="center"/>
          </w:tcPr>
          <w:p>
            <w:r>
              <w:t>Ionisation, shielding, packaging and material movement</w:t>
            </w:r>
          </w:p>
        </w:tc>
        <w:tc>
          <w:tcPr>
            <w:tcW w:type="dxa" w:w="3408"/>
            <w:vAlign w:val="center"/>
          </w:tcPr>
          <w:p>
            <w:r>
              <w:t>50–77</w:t>
            </w:r>
          </w:p>
        </w:tc>
      </w:tr>
      <w:tr>
        <w:tc>
          <w:tcPr>
            <w:tcW w:type="dxa" w:w="3408"/>
            <w:vAlign w:val="center"/>
          </w:tcPr>
          <w:p>
            <w:r>
              <w:t>16:45–17:45</w:t>
            </w:r>
          </w:p>
        </w:tc>
        <w:tc>
          <w:tcPr>
            <w:tcW w:type="dxa" w:w="3408"/>
            <w:vAlign w:val="center"/>
          </w:tcPr>
          <w:p>
            <w:r>
              <w:t>Activities 3–4: EPA design and automated-cell controls</w:t>
            </w:r>
          </w:p>
        </w:tc>
        <w:tc>
          <w:tcPr>
            <w:tcW w:type="dxa" w:w="3408"/>
            <w:vAlign w:val="center"/>
          </w:tcPr>
          <w:p>
            <w:r>
              <w:t>A3: 71–73, A4: 74–76</w:t>
            </w:r>
          </w:p>
        </w:tc>
      </w:tr>
      <w:tr>
        <w:tc>
          <w:tcPr>
            <w:tcW w:type="dxa" w:w="3408"/>
            <w:vAlign w:val="center"/>
          </w:tcPr>
          <w:p>
            <w:r>
              <w:t>17:45–18:00</w:t>
            </w:r>
          </w:p>
        </w:tc>
        <w:tc>
          <w:tcPr>
            <w:tcW w:type="dxa" w:w="3408"/>
            <w:vAlign w:val="center"/>
          </w:tcPr>
          <w:p>
            <w:r>
              <w:t>Day 1 recap and evidence check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</w:tbl>
    <w:p>
      <w:pPr>
        <w:pStyle w:val="Heading1"/>
      </w:pPr>
      <w:r>
        <w:t>Day 2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3408"/>
            <w:shd w:fill="1F6FEB"/>
          </w:tcPr>
          <w:p>
            <w:r>
              <w:rPr>
                <w:b/>
                <w:color w:val="FFFFFF"/>
              </w:rPr>
              <w:t>Session / learning activity</w:t>
            </w:r>
          </w:p>
        </w:tc>
        <w:tc>
          <w:tcPr>
            <w:tcW w:type="dxa" w:w="3408"/>
            <w:shd w:fill="1F6FEB"/>
          </w:tcPr>
          <w:p>
            <w:r>
              <w:rPr>
                <w:b/>
                <w:color w:val="FFFFFF"/>
              </w:rPr>
              <w:t>Slide reference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09:00–09:20</w:t>
            </w:r>
          </w:p>
        </w:tc>
        <w:tc>
          <w:tcPr>
            <w:tcW w:type="dxa" w:w="3408"/>
            <w:vAlign w:val="center"/>
          </w:tcPr>
          <w:p>
            <w:r>
              <w:t>Digital attendance and Day 1 retrieval practice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09:20–10:30</w:t>
            </w:r>
          </w:p>
        </w:tc>
        <w:tc>
          <w:tcPr>
            <w:tcW w:type="dxa" w:w="3408"/>
            <w:vAlign w:val="center"/>
          </w:tcPr>
          <w:p>
            <w:r>
              <w:t>Module 3: standards and programme architecture</w:t>
            </w:r>
          </w:p>
        </w:tc>
        <w:tc>
          <w:tcPr>
            <w:tcW w:type="dxa" w:w="3408"/>
            <w:vAlign w:val="center"/>
          </w:tcPr>
          <w:p>
            <w:r>
              <w:t>79–102</w:t>
            </w:r>
          </w:p>
        </w:tc>
      </w:tr>
      <w:tr>
        <w:tc>
          <w:tcPr>
            <w:tcW w:type="dxa" w:w="3408"/>
            <w:vAlign w:val="center"/>
          </w:tcPr>
          <w:p>
            <w:r>
              <w:t>10:30–10:40</w:t>
            </w:r>
          </w:p>
        </w:tc>
        <w:tc>
          <w:tcPr>
            <w:tcW w:type="dxa" w:w="3408"/>
            <w:vAlign w:val="center"/>
          </w:tcPr>
          <w:p>
            <w:r>
              <w:t>Morning break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10:40–12:00</w:t>
            </w:r>
          </w:p>
        </w:tc>
        <w:tc>
          <w:tcPr>
            <w:tcW w:type="dxa" w:w="3408"/>
            <w:vAlign w:val="center"/>
          </w:tcPr>
          <w:p>
            <w:r>
              <w:t>Measurement discipline, instruments and verification</w:t>
            </w:r>
          </w:p>
        </w:tc>
        <w:tc>
          <w:tcPr>
            <w:tcW w:type="dxa" w:w="3408"/>
            <w:vAlign w:val="center"/>
          </w:tcPr>
          <w:p>
            <w:r>
              <w:t>79–102</w:t>
            </w:r>
          </w:p>
        </w:tc>
      </w:tr>
      <w:tr>
        <w:tc>
          <w:tcPr>
            <w:tcW w:type="dxa" w:w="3408"/>
            <w:vAlign w:val="center"/>
          </w:tcPr>
          <w:p>
            <w:r>
              <w:t>12:00–13:00</w:t>
            </w:r>
          </w:p>
        </w:tc>
        <w:tc>
          <w:tcPr>
            <w:tcW w:type="dxa" w:w="3408"/>
            <w:vAlign w:val="center"/>
          </w:tcPr>
          <w:p>
            <w:r>
              <w:t>Activities 5–6: verification round and standards audit</w:t>
            </w:r>
          </w:p>
        </w:tc>
        <w:tc>
          <w:tcPr>
            <w:tcW w:type="dxa" w:w="3408"/>
            <w:vAlign w:val="center"/>
          </w:tcPr>
          <w:p>
            <w:r>
              <w:t>A5: 96–98, A6: 99–101</w:t>
            </w:r>
          </w:p>
        </w:tc>
      </w:tr>
      <w:tr>
        <w:tc>
          <w:tcPr>
            <w:tcW w:type="dxa" w:w="3408"/>
            <w:vAlign w:val="center"/>
          </w:tcPr>
          <w:p>
            <w:r>
              <w:t>13:00–13:45</w:t>
            </w:r>
          </w:p>
        </w:tc>
        <w:tc>
          <w:tcPr>
            <w:tcW w:type="dxa" w:w="3408"/>
            <w:vAlign w:val="center"/>
          </w:tcPr>
          <w:p>
            <w:r>
              <w:t>Lunch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13:45–14:45</w:t>
            </w:r>
          </w:p>
        </w:tc>
        <w:tc>
          <w:tcPr>
            <w:tcW w:type="dxa" w:w="3408"/>
            <w:vAlign w:val="center"/>
          </w:tcPr>
          <w:p>
            <w:r>
              <w:t>Module 4: competence, incident response and CAPA</w:t>
            </w:r>
          </w:p>
        </w:tc>
        <w:tc>
          <w:tcPr>
            <w:tcW w:type="dxa" w:w="3408"/>
            <w:vAlign w:val="center"/>
          </w:tcPr>
          <w:p>
            <w:r>
              <w:t>104–123</w:t>
            </w:r>
          </w:p>
        </w:tc>
      </w:tr>
      <w:tr>
        <w:tc>
          <w:tcPr>
            <w:tcW w:type="dxa" w:w="3408"/>
            <w:vAlign w:val="center"/>
          </w:tcPr>
          <w:p>
            <w:r>
              <w:t>14:45–14:55</w:t>
            </w:r>
          </w:p>
        </w:tc>
        <w:tc>
          <w:tcPr>
            <w:tcW w:type="dxa" w:w="3408"/>
            <w:vAlign w:val="center"/>
          </w:tcPr>
          <w:p>
            <w:r>
              <w:t>Afternoon break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14:55–15:35</w:t>
            </w:r>
          </w:p>
        </w:tc>
        <w:tc>
          <w:tcPr>
            <w:tcW w:type="dxa" w:w="3408"/>
            <w:vAlign w:val="center"/>
          </w:tcPr>
          <w:p>
            <w:r>
              <w:t>Activity 7: incident investigation</w:t>
            </w:r>
          </w:p>
        </w:tc>
        <w:tc>
          <w:tcPr>
            <w:tcW w:type="dxa" w:w="3408"/>
            <w:vAlign w:val="center"/>
          </w:tcPr>
          <w:p>
            <w:r>
              <w:t>A7: 117–119</w:t>
            </w:r>
          </w:p>
        </w:tc>
      </w:tr>
      <w:tr>
        <w:tc>
          <w:tcPr>
            <w:tcW w:type="dxa" w:w="3408"/>
            <w:vAlign w:val="center"/>
          </w:tcPr>
          <w:p>
            <w:r>
              <w:t>15:35–16:00</w:t>
            </w:r>
          </w:p>
        </w:tc>
        <w:tc>
          <w:tcPr>
            <w:tcW w:type="dxa" w:w="3408"/>
            <w:vAlign w:val="center"/>
          </w:tcPr>
          <w:p>
            <w:r>
              <w:t>Activity 8: management capstone and course summary</w:t>
            </w:r>
          </w:p>
        </w:tc>
        <w:tc>
          <w:tcPr>
            <w:tcW w:type="dxa" w:w="3408"/>
            <w:vAlign w:val="center"/>
          </w:tcPr>
          <w:p>
            <w:r>
              <w:t>A8: 120–122</w:t>
            </w:r>
          </w:p>
        </w:tc>
      </w:tr>
      <w:tr>
        <w:tc>
          <w:tcPr>
            <w:tcW w:type="dxa" w:w="3408"/>
            <w:vAlign w:val="center"/>
          </w:tcPr>
          <w:p>
            <w:r>
              <w:t>16:00–17:00</w:t>
            </w:r>
          </w:p>
        </w:tc>
        <w:tc>
          <w:tcPr>
            <w:tcW w:type="dxa" w:w="3408"/>
            <w:vAlign w:val="center"/>
          </w:tcPr>
          <w:p>
            <w:r>
              <w:t>Written Assessment (SAQ) — 1 hour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17:00–18:00</w:t>
            </w:r>
          </w:p>
        </w:tc>
        <w:tc>
          <w:tcPr>
            <w:tcW w:type="dxa" w:w="3408"/>
            <w:vAlign w:val="center"/>
          </w:tcPr>
          <w:p>
            <w:r>
              <w:t>Case Study (CS) — 1 hour</w:t>
            </w:r>
          </w:p>
        </w:tc>
        <w:tc>
          <w:tcPr>
            <w:tcW w:type="dxa" w:w="3408"/>
            <w:vAlign w:val="center"/>
          </w:tcPr>
          <w:p>
            <w:r>
              <w:t>Admin / assessment</w:t>
            </w:r>
          </w:p>
        </w:tc>
      </w:tr>
    </w:tbl>
    <w:p>
      <w:pPr>
        <w:pStyle w:val="Heading1"/>
      </w:pPr>
      <w:r>
        <w:t>Activity and Assessment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0B981"/>
          </w:tcPr>
          <w:p>
            <w:r>
              <w:t>Activity</w:t>
            </w:r>
          </w:p>
        </w:tc>
        <w:tc>
          <w:tcPr>
            <w:tcW w:type="dxa" w:w="2556"/>
            <w:shd w:fill="10B981"/>
          </w:tcPr>
          <w:p>
            <w:r>
              <w:t>K/A mapping</w:t>
            </w:r>
          </w:p>
        </w:tc>
        <w:tc>
          <w:tcPr>
            <w:tcW w:type="dxa" w:w="2556"/>
            <w:shd w:fill="10B981"/>
          </w:tcPr>
          <w:p>
            <w:r>
              <w:t>Output</w:t>
            </w:r>
          </w:p>
        </w:tc>
        <w:tc>
          <w:tcPr>
            <w:tcW w:type="dxa" w:w="2556"/>
            <w:shd w:fill="10B981"/>
          </w:tcPr>
          <w:p>
            <w:r>
              <w:t>Slides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1. Static Hazard Hunt at NovaSense Incoming Inspection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K1 · A1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Annotated hazard map; Risk-prioritisation worksheet; Three-control proposal; Peer-review note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43–45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2. Medical Microchip Failure Triage: ESD, EOS or Process Defect?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K1 · A1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Chronology; Hypothesis matrix; Containment plan; Decision-gate briefing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46–48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3. Design and Commission an EPA for Orion Optics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K3 · K4 · A1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EPA layout; Grounding/bonding diagram; Insulator-control register; Commissioning plan and readiness certificate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71–73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4. Select Controls for the Aster Robotics Handling Cell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K3 · K4 · A1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Exposure-path map; Control-selection matrix; Monitoring/stop-condition plan; Maintenance plan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74–76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5. Execute a Compliance Verification Round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K2 · K3 · A2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Completed measurement log; Failure/disposition records; Metric calculation; Signed evidence package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96–98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6. Standards-Based EPA Audit at Helix Assembly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K2 · A2 · A3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Audit plan; Completed checklist; Evidence register; Graded findings and follow-up plan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99–101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7. Investigate the PulseMed ESD Incident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K4 · A2 · A3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Containment record; Timeline and causal analysis; CAPA plan; Effectiveness-verification plan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117–119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8. Management Capstone: Build the Apex ESD Control Plan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K1–K4 · A1–A3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ESD control plan; Qualification and verification matrices; Competency matrix; Metrics dashboard and 90-day roadmap</w:t>
            </w:r>
          </w:p>
        </w:tc>
        <w:tc>
          <w:tcPr>
            <w:tcW w:type="dxa" w:w="2556"/>
            <w:vAlign w:val="top"/>
          </w:tcPr>
          <w:p>
            <w:pPr>
              <w:spacing w:after="0" w:line="216" w:lineRule="auto"/>
            </w:pPr>
            <w:r>
              <w:rPr>
                <w:sz w:val="16"/>
              </w:rPr>
              <w:t>120–122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5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