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73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01-pic-01-0e1b4a754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73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Electrostatic Discharge (ESD) Control for Lab and Factory Engineers and Managers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TGS-2024051412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5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Legacy slide deck used as the coverage and picture baseline.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Rebuilt visual courseware; expanded ESD fundamentals, EPA controls, verification, audit, incident and management content; added eight detailed realistic activities.</w:t>
            </w:r>
          </w:p>
        </w:tc>
        <w:tc>
          <w:tcPr>
            <w:tcW w:type="dxa" w:w="2556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Source and Standards Note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Module 1: Basics of ESD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ESD: an invisible reliability hazard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charge–field–discharge chain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Triboelectric charging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Conductors, dissipative materials and insulators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Isolated conductors are still hazardous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Electrostatic induction and polarisation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Contact discharge versus air discharge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What controls discharge severity?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Human Body Model (HBM)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Machine Model (MM): legacy context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Charged Device Model (CDM)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HBM, MM and CDM are not interchangeable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Catastrophic failure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Latent and cumulative degradation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ESD versus electrical overstress (EOS)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Where exposure occurs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Which devices may be sensitive?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Economic impact pathway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Risk-based prioritisation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1: Static Hazard Hunt at NovaSense Incoming Inspection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2: Medical Microchip Failure Triage: ESD, EOS or Process Defect?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Module 2: ESD Control Principles, Equipment and Practices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The ESD control hierarchy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Electrostatic Protected Area (EPA)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Grounding versus bonding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Common point ground architecture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Personnel grounding choices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Wrist-strap control loop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Footwear and flooring as a system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Worksurface and tool control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Essential insulators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Ionisation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Electrostatic field shielding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Packaging functions are different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Handling ESDS items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Garments, gloves and finger cots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Carts, racks and material movement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Maintenance is part of control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Common failure patterns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Supervisor’s EPA readiness review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3: Design and Commission an EPA for Orion Optics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4: Select Controls for the Aster Robotics Handling Cell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16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Module 3: ESD Standards, Testing and Auditing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Standards define a control system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Control programme architecture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Product qualification versus compliance verification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Instrument-to-risk map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Measurement discipline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Wrist strap and footwear checks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Surface and point-to-ground resistance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Ioniser performance checks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Audit evidence pyramid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Risk-based audit sampling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Nonconformity grading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Corrective-action loop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Useful ESD performance metrics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Management review questions</w:t>
        <w:tab/>
        <w:t>19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5: Execute a Compliance Verification Round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20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6: Standards-Based EPA Audit at Helix Assembly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Module 4: Training, Awareness and Incident Improvement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Competence is role-specific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From awareness to reliable behaviour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ESD champions and supervision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Recognising a possible ESD incident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Immediate response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Incident evidence set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Root-cause analysis without blame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Selecting corrective actions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Communicating ESD risk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 sustainable ESD culture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Competency certification</w:t>
        <w:tab/>
        <w:t>23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7: Investigate the PulseMed ESD Incident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8: Management Capstone: Build the Apex ESD Control Plan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step-by-step procedure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Scenario questions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Evidence to submit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Acceptance criteria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Reference Sources</w:t>
        <w:tab/>
        <w:t>26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guide contains the detailed execution procedures intentionally omitted from the concept-led slides. Use it with the eight self-contained activity folders.</w:t>
      </w:r>
    </w:p>
    <w:p>
      <w:pPr>
        <w:pStyle w:val="Heading1"/>
      </w:pPr>
      <w:r>
        <w:t>Learning Outcomes</w:t>
      </w:r>
    </w:p>
    <w:p>
      <w:pPr>
        <w:pStyle w:val="ListBullet"/>
        <w:spacing w:after="60"/>
      </w:pPr>
      <w:r>
        <w:t>LO1: Apply control measures to manage ESD generation based on ESD principles.</w:t>
      </w:r>
    </w:p>
    <w:p>
      <w:pPr>
        <w:pStyle w:val="ListBullet"/>
        <w:spacing w:after="60"/>
      </w:pPr>
      <w:r>
        <w:t>LO2: Evaluate and recommend actions to improve ESD control effectiveness in accordance with ESD standards.</w:t>
      </w:r>
    </w:p>
    <w:p>
      <w:pPr>
        <w:pStyle w:val="Heading1"/>
      </w:pPr>
      <w:r>
        <w:t>Source and Standards Note</w:t>
      </w:r>
    </w:p>
    <w:p>
      <w:r>
        <w:t>The legacy v2 deck is retained as a coverage and picture baseline. Supplied public sources deepen the explanations. Exact limits and methods must be taken from the current controlled standards, customer requirements and site procedures.</w:t>
      </w:r>
    </w:p>
    <w:p>
      <w:pPr>
        <w:pStyle w:val="Heading1"/>
      </w:pPr>
      <w:r>
        <w:t>Module 1: Basics of ESD</w:t>
      </w:r>
    </w:p>
    <w:p>
      <w:r>
        <w:t>Mapping: K1 · A1. Charge generation · discharge paths · HBM/MM/CDM · failure modes · business impact</w:t>
      </w:r>
    </w:p>
    <w:p>
      <w:pPr>
        <w:pStyle w:val="Heading2"/>
      </w:pPr>
      <w:r>
        <w:t>ESD: an invisible reliability hazard</w:t>
      </w:r>
    </w:p>
    <w:p>
      <w:pPr>
        <w:pStyle w:val="ListBullet"/>
        <w:spacing w:after="60"/>
      </w:pPr>
      <w:r>
        <w:t>A sudden charge transfer can damage a device without a visible spark or a felt shock.</w:t>
      </w:r>
    </w:p>
    <w:p>
      <w:pPr>
        <w:pStyle w:val="ListBullet"/>
        <w:spacing w:after="60"/>
      </w:pPr>
      <w:r>
        <w:t>Treat every unprotected ESDS item as vulnerable throughout handling, test, storage and service.</w:t>
      </w:r>
    </w:p>
    <w:p>
      <w:r>
        <w:rPr>
          <w:b/>
          <w:color w:val="1F6FEB"/>
        </w:rPr>
        <w:t xml:space="preserve">Decision takeaway: </w:t>
      </w:r>
      <w:r>
        <w:t>Human sensation is a poor detector of device risk.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The charge–field–discharge chain</w:t>
      </w:r>
    </w:p>
    <w:p>
      <w:pPr>
        <w:pStyle w:val="ListBullet"/>
        <w:spacing w:after="60"/>
      </w:pPr>
      <w:r>
        <w:t>Contact and separation create charge</w:t>
      </w:r>
    </w:p>
    <w:p>
      <w:pPr>
        <w:pStyle w:val="ListBullet"/>
        <w:spacing w:after="60"/>
      </w:pPr>
      <w:r>
        <w:t>Charge remains on isolated conductors or insulators</w:t>
      </w:r>
    </w:p>
    <w:p>
      <w:pPr>
        <w:pStyle w:val="ListBullet"/>
        <w:spacing w:after="60"/>
      </w:pPr>
      <w:r>
        <w:t>An electric field polarises nearby objects</w:t>
      </w:r>
    </w:p>
    <w:p>
      <w:pPr>
        <w:pStyle w:val="ListBullet"/>
        <w:spacing w:after="60"/>
      </w:pPr>
      <w:r>
        <w:t>A conductive path forms</w:t>
      </w:r>
    </w:p>
    <w:p>
      <w:pPr>
        <w:pStyle w:val="ListBullet"/>
        <w:spacing w:after="60"/>
      </w:pPr>
      <w:r>
        <w:t>Fast current damages a vulnerable device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Triboelectric charging</w:t>
      </w:r>
    </w:p>
    <w:p>
      <w:pPr>
        <w:pStyle w:val="ListBullet"/>
        <w:spacing w:after="60"/>
      </w:pPr>
      <w:r>
        <w:t>Material pair — Different electron affinities drive polarity and magnitude.</w:t>
      </w:r>
    </w:p>
    <w:p>
      <w:pPr>
        <w:pStyle w:val="ListBullet"/>
        <w:spacing w:after="60"/>
      </w:pPr>
      <w:r>
        <w:t>Contact area — More intimate contact can transfer more charge.</w:t>
      </w:r>
    </w:p>
    <w:p>
      <w:pPr>
        <w:pStyle w:val="ListBullet"/>
        <w:spacing w:after="60"/>
      </w:pPr>
      <w:r>
        <w:t>Separation — Speed and force affect charge generation.</w:t>
      </w:r>
    </w:p>
    <w:p>
      <w:pPr>
        <w:pStyle w:val="ListBullet"/>
        <w:spacing w:after="60"/>
      </w:pPr>
      <w:r>
        <w:t>Environment — Humidity and contamination change surface leakage.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Conductors, dissipative materials and insulators</w:t>
      </w:r>
    </w:p>
    <w:p>
      <w:pPr>
        <w:pStyle w:val="ListBullet"/>
        <w:spacing w:after="60"/>
      </w:pPr>
      <w:r>
        <w:t>Conductors redistribute charge quickly and can be grounded.</w:t>
      </w:r>
    </w:p>
    <w:p>
      <w:pPr>
        <w:pStyle w:val="ListBullet"/>
        <w:spacing w:after="60"/>
      </w:pPr>
      <w:r>
        <w:t>Dissipative materials move charge in a controlled manner.</w:t>
      </w:r>
    </w:p>
    <w:p>
      <w:pPr>
        <w:pStyle w:val="ListBullet"/>
        <w:spacing w:after="60"/>
      </w:pPr>
      <w:r>
        <w:t>Insulators retain localised charge and cannot be neutralised by grounding alone.</w:t>
      </w:r>
    </w:p>
    <w:p>
      <w:pPr>
        <w:pStyle w:val="ListBullet"/>
        <w:spacing w:after="60"/>
      </w:pPr>
      <w:r>
        <w:t>Low-charging, dissipative and shielding are different material functions.</w:t>
      </w:r>
    </w:p>
    <w:p>
      <w:r>
        <w:rPr>
          <w:b/>
          <w:color w:val="1F6FEB"/>
        </w:rPr>
        <w:t xml:space="preserve">Decision takeaway: </w:t>
      </w:r>
      <w:r>
        <w:t>Select material by required function—not by colour or marketing label.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Isolated conductors are still hazardous</w:t>
      </w:r>
    </w:p>
    <w:p>
      <w:pPr>
        <w:pStyle w:val="ListBullet"/>
        <w:spacing w:after="60"/>
      </w:pPr>
      <w:r>
        <w:t>A metal tool, trolley or fixture can remain charged when it has no verified path to ground.</w:t>
      </w:r>
    </w:p>
    <w:p>
      <w:pPr>
        <w:pStyle w:val="ListBullet"/>
        <w:spacing w:after="60"/>
      </w:pPr>
      <w:r>
        <w:t>Bonding removes potential differences; grounding provides a controlled reference path.</w:t>
      </w:r>
    </w:p>
    <w:p>
      <w:r>
        <w:rPr>
          <w:b/>
          <w:color w:val="1F6FEB"/>
        </w:rPr>
        <w:t xml:space="preserve">Decision takeaway: </w:t>
      </w:r>
      <w:r>
        <w:t>Conductive does not automatically mean safe.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Electrostatic induction and polarisation</w:t>
      </w:r>
    </w:p>
    <w:p>
      <w:pPr>
        <w:pStyle w:val="ListBullet"/>
        <w:spacing w:after="60"/>
      </w:pPr>
      <w:r>
        <w:t>Charged object approaches</w:t>
      </w:r>
    </w:p>
    <w:p>
      <w:pPr>
        <w:pStyle w:val="ListBullet"/>
        <w:spacing w:after="60"/>
      </w:pPr>
      <w:r>
        <w:t>Field redistributes charge in nearby conductor</w:t>
      </w:r>
    </w:p>
    <w:p>
      <w:pPr>
        <w:pStyle w:val="ListBullet"/>
        <w:spacing w:after="60"/>
      </w:pPr>
      <w:r>
        <w:t>Temporary ground connection permits charge flow</w:t>
      </w:r>
    </w:p>
    <w:p>
      <w:pPr>
        <w:pStyle w:val="ListBullet"/>
        <w:spacing w:after="60"/>
      </w:pPr>
      <w:r>
        <w:t>Ground is removed</w:t>
      </w:r>
    </w:p>
    <w:p>
      <w:pPr>
        <w:pStyle w:val="ListBullet"/>
        <w:spacing w:after="60"/>
      </w:pPr>
      <w:r>
        <w:t>Object retains a net charge after the field leaves</w:t>
      </w:r>
    </w:p>
    <w:p>
      <w:r>
        <w:rPr>
          <w:b/>
          <w:color w:val="1F6FEB"/>
        </w:rPr>
        <w:t xml:space="preserve">Decision takeaway: </w:t>
      </w:r>
      <w:r>
        <w:t>No physical rubbing is required for field-induced charging.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Contact discharge versus air discharge</w:t>
      </w:r>
    </w:p>
    <w:p>
      <w:pPr>
        <w:pStyle w:val="ListBullet"/>
        <w:spacing w:after="60"/>
      </w:pPr>
      <w:r>
        <w:t>Contact discharge: differently charged objects touch and charge transfers directly.</w:t>
      </w:r>
    </w:p>
    <w:p>
      <w:pPr>
        <w:pStyle w:val="ListBullet"/>
        <w:spacing w:after="60"/>
      </w:pPr>
      <w:r>
        <w:t>Waveform depends on the source, path impedance and contact geometry.</w:t>
      </w:r>
    </w:p>
    <w:p>
      <w:pPr>
        <w:pStyle w:val="ListBullet"/>
        <w:spacing w:after="60"/>
      </w:pPr>
      <w:r>
        <w:t>Air discharge: a strong field ionises an air gap before contact.</w:t>
      </w:r>
    </w:p>
    <w:p>
      <w:pPr>
        <w:pStyle w:val="ListBullet"/>
        <w:spacing w:after="60"/>
      </w:pPr>
      <w:r>
        <w:t>Visible sparks represent only a subset of damaging ESD events.</w:t>
      </w:r>
    </w:p>
    <w:p>
      <w:r>
        <w:rPr>
          <w:b/>
        </w:rPr>
        <w:t xml:space="preserve">Source alignment: </w:t>
      </w:r>
      <w:r>
        <w:t>Analog Devices ESD glossary</w:t>
      </w:r>
    </w:p>
    <w:p>
      <w:pPr>
        <w:pStyle w:val="Heading2"/>
      </w:pPr>
      <w:r>
        <w:t>What controls discharge severity?</w:t>
      </w:r>
    </w:p>
    <w:p>
      <w:pPr>
        <w:pStyle w:val="ListBullet"/>
        <w:spacing w:after="60"/>
      </w:pPr>
      <w:r>
        <w:t>Voltage difference — Stored potential is one risk indicator, not the whole event.</w:t>
      </w:r>
    </w:p>
    <w:p>
      <w:pPr>
        <w:pStyle w:val="ListBullet"/>
        <w:spacing w:after="60"/>
      </w:pPr>
      <w:r>
        <w:t>Capacitance — More stored charge can raise available energy.</w:t>
      </w:r>
    </w:p>
    <w:p>
      <w:pPr>
        <w:pStyle w:val="ListBullet"/>
        <w:spacing w:after="60"/>
      </w:pPr>
      <w:r>
        <w:t>Path impedance — Resistance and inductance shape peak current and rise time.</w:t>
      </w:r>
    </w:p>
    <w:p>
      <w:pPr>
        <w:pStyle w:val="ListBullet"/>
        <w:spacing w:after="60"/>
      </w:pPr>
      <w:r>
        <w:t>Device sensitivity — Pins, package and internal structures determine failure threshold.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Human Body Model (HBM)</w:t>
      </w:r>
    </w:p>
    <w:p>
      <w:pPr>
        <w:pStyle w:val="ListBullet"/>
        <w:spacing w:after="60"/>
      </w:pPr>
      <w:r>
        <w:t>Represents a charged person discharging through a device pin.</w:t>
      </w:r>
    </w:p>
    <w:p>
      <w:pPr>
        <w:pStyle w:val="ListBullet"/>
        <w:spacing w:after="60"/>
      </w:pPr>
      <w:r>
        <w:t>Useful for component qualification and handling robustness.</w:t>
      </w:r>
    </w:p>
    <w:p>
      <w:pPr>
        <w:pStyle w:val="ListBullet"/>
        <w:spacing w:after="60"/>
      </w:pPr>
      <w:r>
        <w:t>A laboratory model—not a prediction of every factory event.</w:t>
      </w:r>
    </w:p>
    <w:p>
      <w:pPr>
        <w:pStyle w:val="ListBullet"/>
        <w:spacing w:after="60"/>
      </w:pPr>
      <w:r>
        <w:t>Use supplier sensitivity data and the applicable controlled test method.</w:t>
      </w:r>
    </w:p>
    <w:p>
      <w:r>
        <w:rPr>
          <w:b/>
        </w:rPr>
        <w:t xml:space="preserve">Source alignment: </w:t>
      </w:r>
      <w:r>
        <w:t>Analog Devices ESD glossary</w:t>
      </w:r>
    </w:p>
    <w:p>
      <w:pPr>
        <w:pStyle w:val="Heading2"/>
      </w:pPr>
      <w:r>
        <w:t>Machine Model (MM): legacy context</w:t>
      </w:r>
    </w:p>
    <w:p>
      <w:pPr>
        <w:pStyle w:val="ListBullet"/>
        <w:spacing w:after="60"/>
      </w:pPr>
      <w:r>
        <w:t>Historically represented charged metal equipment with a low-impedance discharge.</w:t>
      </w:r>
    </w:p>
    <w:p>
      <w:pPr>
        <w:pStyle w:val="ListBullet"/>
        <w:spacing w:after="60"/>
      </w:pPr>
      <w:r>
        <w:t>Appears in the legacy deck and some older literature.</w:t>
      </w:r>
    </w:p>
    <w:p>
      <w:pPr>
        <w:pStyle w:val="ListBullet"/>
        <w:spacing w:after="60"/>
      </w:pPr>
      <w:r>
        <w:t>Do not assume correlation with HBM or CDM.</w:t>
      </w:r>
    </w:p>
    <w:p>
      <w:pPr>
        <w:pStyle w:val="ListBullet"/>
        <w:spacing w:after="60"/>
      </w:pPr>
      <w:r>
        <w:t>Use the test model and revision required by the current product/customer specification.</w:t>
      </w:r>
    </w:p>
    <w:p>
      <w:r>
        <w:rPr>
          <w:b/>
        </w:rPr>
        <w:t xml:space="preserve">Source alignment: </w:t>
      </w:r>
      <w:r>
        <w:t>Analog Devices ESD glossary</w:t>
      </w:r>
    </w:p>
    <w:p>
      <w:pPr>
        <w:pStyle w:val="Heading2"/>
      </w:pPr>
      <w:r>
        <w:t>Charged Device Model (CDM)</w:t>
      </w:r>
    </w:p>
    <w:p>
      <w:pPr>
        <w:pStyle w:val="ListBullet"/>
        <w:spacing w:after="60"/>
      </w:pPr>
      <w:r>
        <w:t>Device package becomes charged</w:t>
      </w:r>
    </w:p>
    <w:p>
      <w:pPr>
        <w:pStyle w:val="ListBullet"/>
        <w:spacing w:after="60"/>
      </w:pPr>
      <w:r>
        <w:t>Device approaches grounded metal</w:t>
      </w:r>
    </w:p>
    <w:p>
      <w:pPr>
        <w:pStyle w:val="ListBullet"/>
        <w:spacing w:after="60"/>
      </w:pPr>
      <w:r>
        <w:t>One pin makes first contact</w:t>
      </w:r>
    </w:p>
    <w:p>
      <w:pPr>
        <w:pStyle w:val="ListBullet"/>
        <w:spacing w:after="60"/>
      </w:pPr>
      <w:r>
        <w:t>Very fast discharge leaves the device</w:t>
      </w:r>
    </w:p>
    <w:p>
      <w:pPr>
        <w:pStyle w:val="ListBullet"/>
        <w:spacing w:after="60"/>
      </w:pPr>
      <w:r>
        <w:t>Local current density stresses internal structures</w:t>
      </w:r>
    </w:p>
    <w:p>
      <w:r>
        <w:rPr>
          <w:b/>
          <w:color w:val="1F6FEB"/>
        </w:rPr>
        <w:t xml:space="preserve">Decision takeaway: </w:t>
      </w:r>
      <w:r>
        <w:t>Automation, trays, tubes and handlers can create CDM risk without a person touching the part.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HBM, MM and CDM are not interchangeable</w:t>
      </w:r>
    </w:p>
    <w:p>
      <w:pPr>
        <w:pStyle w:val="ListBullet"/>
        <w:spacing w:after="60"/>
      </w:pPr>
      <w:r>
        <w:t>HBM — Charged person → device; handling-oriented component model.</w:t>
      </w:r>
    </w:p>
    <w:p>
      <w:pPr>
        <w:pStyle w:val="ListBullet"/>
        <w:spacing w:after="60"/>
      </w:pPr>
      <w:r>
        <w:t>MM — Legacy charged-machine representation; limited correlation.</w:t>
      </w:r>
    </w:p>
    <w:p>
      <w:pPr>
        <w:pStyle w:val="ListBullet"/>
        <w:spacing w:after="60"/>
      </w:pPr>
      <w:r>
        <w:t>CDM — Charged device → ground; very fast package-dependent event.</w:t>
      </w:r>
    </w:p>
    <w:p>
      <w:r>
        <w:rPr>
          <w:b/>
        </w:rPr>
        <w:t xml:space="preserve">Source alignment: </w:t>
      </w:r>
      <w:r>
        <w:t>Analog Devices ESD glossary</w:t>
      </w:r>
    </w:p>
    <w:p>
      <w:pPr>
        <w:pStyle w:val="Heading2"/>
      </w:pPr>
      <w:r>
        <w:t>Catastrophic failure</w:t>
      </w:r>
    </w:p>
    <w:p>
      <w:pPr>
        <w:pStyle w:val="ListBullet"/>
        <w:spacing w:after="60"/>
      </w:pPr>
      <w:r>
        <w:t>Metal melt — Current density damages interconnects.</w:t>
      </w:r>
    </w:p>
    <w:p>
      <w:pPr>
        <w:pStyle w:val="ListBullet"/>
        <w:spacing w:after="60"/>
      </w:pPr>
      <w:r>
        <w:t>Junction breakdown — Semiconductor junction no longer meets specification.</w:t>
      </w:r>
    </w:p>
    <w:p>
      <w:pPr>
        <w:pStyle w:val="ListBullet"/>
        <w:spacing w:after="60"/>
      </w:pPr>
      <w:r>
        <w:t>Oxide rupture — Thin dielectric is punctured.</w:t>
      </w:r>
    </w:p>
    <w:p>
      <w:pPr>
        <w:pStyle w:val="ListBullet"/>
        <w:spacing w:after="60"/>
      </w:pPr>
      <w:r>
        <w:t>Immediate detection — Device may fail functional or parametric test.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Latent and cumulative degradation</w:t>
      </w:r>
    </w:p>
    <w:p>
      <w:pPr>
        <w:pStyle w:val="ListBullet"/>
        <w:spacing w:after="60"/>
      </w:pPr>
      <w:r>
        <w:t>A degraded device may still pass initial functional test.</w:t>
      </w:r>
    </w:p>
    <w:p>
      <w:pPr>
        <w:pStyle w:val="ListBullet"/>
        <w:spacing w:after="60"/>
      </w:pPr>
      <w:r>
        <w:t>Leakage or margins can shift after an event.</w:t>
      </w:r>
    </w:p>
    <w:p>
      <w:pPr>
        <w:pStyle w:val="ListBullet"/>
        <w:spacing w:after="60"/>
      </w:pPr>
      <w:r>
        <w:t>The latent-failure concept is debated; evidence must distinguish ESD from other overstress causes.</w:t>
      </w:r>
    </w:p>
    <w:p>
      <w:pPr>
        <w:pStyle w:val="ListBullet"/>
        <w:spacing w:after="60"/>
      </w:pPr>
      <w:r>
        <w:t>Repeated mishandling can cumulatively degrade parameters.</w:t>
      </w:r>
    </w:p>
    <w:p>
      <w:r>
        <w:rPr>
          <w:b/>
        </w:rPr>
        <w:t xml:space="preserve">Source alignment: </w:t>
      </w:r>
      <w:r>
        <w:t>ESDA Fundamentals Part 1; Analog Devices</w:t>
      </w:r>
    </w:p>
    <w:p>
      <w:pPr>
        <w:pStyle w:val="Heading2"/>
      </w:pPr>
      <w:r>
        <w:t>ESD versus electrical overstress (EOS)</w:t>
      </w:r>
    </w:p>
    <w:p>
      <w:pPr>
        <w:pStyle w:val="ListBullet"/>
        <w:spacing w:after="60"/>
      </w:pPr>
      <w:r>
        <w:t>ESD: rapid electrostatic charge transfer, usually short duration and fast rise time.</w:t>
      </w:r>
    </w:p>
    <w:p>
      <w:pPr>
        <w:pStyle w:val="ListBullet"/>
        <w:spacing w:after="60"/>
      </w:pPr>
      <w:r>
        <w:t>Evidence includes handling history, field sources and microscopic damage pattern.</w:t>
      </w:r>
    </w:p>
    <w:p>
      <w:pPr>
        <w:pStyle w:val="ListBullet"/>
        <w:spacing w:after="60"/>
      </w:pPr>
      <w:r>
        <w:t>EOS: broader excessive electrical energy exposure from power, wiring or transients.</w:t>
      </w:r>
    </w:p>
    <w:p>
      <w:pPr>
        <w:pStyle w:val="ListBullet"/>
        <w:spacing w:after="60"/>
      </w:pPr>
      <w:r>
        <w:t>Do not label every burnt part as ESD without a disciplined failure analysis.</w:t>
      </w:r>
    </w:p>
    <w:p>
      <w:r>
        <w:rPr>
          <w:b/>
          <w:color w:val="1F6FEB"/>
        </w:rPr>
        <w:t xml:space="preserve">Decision takeaway: </w:t>
      </w:r>
      <w:r>
        <w:t>Classification drives the right corrective action.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Where exposure occurs</w:t>
      </w:r>
    </w:p>
    <w:p>
      <w:pPr>
        <w:pStyle w:val="ListBullet"/>
        <w:spacing w:after="60"/>
      </w:pPr>
      <w:r>
        <w:t>Component manufacture</w:t>
      </w:r>
    </w:p>
    <w:p>
      <w:pPr>
        <w:pStyle w:val="ListBullet"/>
        <w:spacing w:after="60"/>
      </w:pPr>
      <w:r>
        <w:t>Incoming inspection</w:t>
      </w:r>
    </w:p>
    <w:p>
      <w:pPr>
        <w:pStyle w:val="ListBullet"/>
        <w:spacing w:after="60"/>
      </w:pPr>
      <w:r>
        <w:t>Assembly and test</w:t>
      </w:r>
    </w:p>
    <w:p>
      <w:pPr>
        <w:pStyle w:val="ListBullet"/>
        <w:spacing w:after="60"/>
      </w:pPr>
      <w:r>
        <w:t>Packaging and logistics</w:t>
      </w:r>
    </w:p>
    <w:p>
      <w:pPr>
        <w:pStyle w:val="ListBullet"/>
        <w:spacing w:after="60"/>
      </w:pPr>
      <w:r>
        <w:t>Installation and field service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Which devices may be sensitive?</w:t>
      </w:r>
    </w:p>
    <w:p>
      <w:pPr>
        <w:pStyle w:val="ListBullet"/>
        <w:spacing w:after="60"/>
      </w:pPr>
      <w:r>
        <w:t>Semiconductors — ICs, MOSFETs, diodes and precision analog parts.</w:t>
      </w:r>
    </w:p>
    <w:p>
      <w:pPr>
        <w:pStyle w:val="ListBullet"/>
        <w:spacing w:after="60"/>
      </w:pPr>
      <w:r>
        <w:t>Assemblies — Populated PCBs and hybrid circuits.</w:t>
      </w:r>
    </w:p>
    <w:p>
      <w:pPr>
        <w:pStyle w:val="ListBullet"/>
        <w:spacing w:after="60"/>
      </w:pPr>
      <w:r>
        <w:t>Sensors — Optoelectronic, microwave, piezoelectric and recording-head devices.</w:t>
      </w:r>
    </w:p>
    <w:p>
      <w:pPr>
        <w:pStyle w:val="ListBullet"/>
        <w:spacing w:after="60"/>
      </w:pPr>
      <w:r>
        <w:t>Supplier data — Actual sensitivity comes from product qualification information.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Economic impact pathway</w:t>
      </w:r>
    </w:p>
    <w:p>
      <w:pPr>
        <w:pStyle w:val="ListBullet"/>
        <w:spacing w:after="60"/>
      </w:pPr>
      <w:r>
        <w:t>Undetected ESD exposure</w:t>
      </w:r>
    </w:p>
    <w:p>
      <w:pPr>
        <w:pStyle w:val="ListBullet"/>
        <w:spacing w:after="60"/>
      </w:pPr>
      <w:r>
        <w:t>Yield loss or rework</w:t>
      </w:r>
    </w:p>
    <w:p>
      <w:pPr>
        <w:pStyle w:val="ListBullet"/>
        <w:spacing w:after="60"/>
      </w:pPr>
      <w:r>
        <w:t>Escapes and field returns</w:t>
      </w:r>
    </w:p>
    <w:p>
      <w:pPr>
        <w:pStyle w:val="ListBullet"/>
        <w:spacing w:after="60"/>
      </w:pPr>
      <w:r>
        <w:t>Warranty and investigation cost</w:t>
      </w:r>
    </w:p>
    <w:p>
      <w:pPr>
        <w:pStyle w:val="ListBullet"/>
        <w:spacing w:after="60"/>
      </w:pPr>
      <w:r>
        <w:t>Customer trust and regulatory impact</w:t>
      </w:r>
    </w:p>
    <w:p>
      <w:r>
        <w:rPr>
          <w:b/>
          <w:color w:val="1F6FEB"/>
        </w:rPr>
        <w:t xml:space="preserve">Decision takeaway: </w:t>
      </w:r>
      <w:r>
        <w:t>Prevention is usually cheaper than proving the origin of an intermittent failure.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Risk-based prioritisation</w:t>
      </w:r>
    </w:p>
    <w:p>
      <w:pPr>
        <w:pStyle w:val="ListBullet"/>
        <w:spacing w:after="60"/>
      </w:pPr>
      <w:r>
        <w:t>Sensitivity — Lowest credible device withstand level.</w:t>
      </w:r>
    </w:p>
    <w:p>
      <w:pPr>
        <w:pStyle w:val="ListBullet"/>
        <w:spacing w:after="60"/>
      </w:pPr>
      <w:r>
        <w:t>Exposure — People, motion, insulators, automation and transport.</w:t>
      </w:r>
    </w:p>
    <w:p>
      <w:pPr>
        <w:pStyle w:val="ListBullet"/>
        <w:spacing w:after="60"/>
      </w:pPr>
      <w:r>
        <w:t>Detectability — Whether damage is caught before shipment.</w:t>
      </w:r>
    </w:p>
    <w:p>
      <w:pPr>
        <w:pStyle w:val="ListBullet"/>
        <w:spacing w:after="60"/>
      </w:pPr>
      <w:r>
        <w:t>Consequence — Safety, quality, cost, customer and downtime impact.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1"/>
      </w:pPr>
      <w:r>
        <w:t>Activity 1: Static Hazard Hunt at NovaSense Incoming Inspection</w:t>
      </w:r>
    </w:p>
    <w:p>
      <w:r>
        <w:t>Mapping: K1 · A1. Objective: Identify credible charge sources, exposed ESDS items, isolated conductors and field-coupling paths, then prioritise controls.</w:t>
      </w:r>
    </w:p>
    <w:p>
      <w:pPr>
        <w:pStyle w:val="Heading2"/>
      </w:pPr>
      <w:r>
        <w:t>Scenario</w:t>
      </w:r>
    </w:p>
    <w:p>
      <w:r>
        <w:t>NovaSense receives MEMS sensor trays beside a label printer, stretch-wrap station and wheeled inspection trolley. Failure returns increased after a layout change, but no one has mapped charge-generation and induction risks.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Read the scenario and mark every ESDS item and handling handoff on the supplied floor sketch.</w:t>
      </w:r>
    </w:p>
    <w:p>
      <w:pPr>
        <w:spacing w:after="100"/>
      </w:pPr>
      <w:r>
        <w:rPr>
          <w:b/>
        </w:rPr>
        <w:t xml:space="preserve">2. </w:t>
      </w:r>
      <w:r>
        <w:t>List each contact-and-separation event, material pair and motion that can generate charge.</w:t>
      </w:r>
    </w:p>
    <w:p>
      <w:pPr>
        <w:spacing w:after="100"/>
      </w:pPr>
      <w:r>
        <w:rPr>
          <w:b/>
        </w:rPr>
        <w:t xml:space="preserve">3. </w:t>
      </w:r>
      <w:r>
        <w:t>Circle conductors that may be isolated from ground, including the trolley and metal fixtures.</w:t>
      </w:r>
    </w:p>
    <w:p>
      <w:pPr>
        <w:spacing w:after="100"/>
      </w:pPr>
      <w:r>
        <w:rPr>
          <w:b/>
        </w:rPr>
        <w:t xml:space="preserve">4. </w:t>
      </w:r>
      <w:r>
        <w:t>Mark essential and non-essential insulators within the handling zone.</w:t>
      </w:r>
    </w:p>
    <w:p>
      <w:pPr>
        <w:spacing w:after="100"/>
      </w:pPr>
      <w:r>
        <w:rPr>
          <w:b/>
        </w:rPr>
        <w:t xml:space="preserve">5. </w:t>
      </w:r>
      <w:r>
        <w:t>Trace one direct-contact discharge path and one field-induction path to a sensor tray.</w:t>
      </w:r>
    </w:p>
    <w:p>
      <w:pPr>
        <w:spacing w:after="100"/>
      </w:pPr>
      <w:r>
        <w:rPr>
          <w:b/>
        </w:rPr>
        <w:t xml:space="preserve">6. </w:t>
      </w:r>
      <w:r>
        <w:t>Rate each hazard for sensitivity, exposure, detectability and consequence using the worksheet scale.</w:t>
      </w:r>
    </w:p>
    <w:p>
      <w:pPr>
        <w:spacing w:after="100"/>
      </w:pPr>
      <w:r>
        <w:rPr>
          <w:b/>
        </w:rPr>
        <w:t xml:space="preserve">7. </w:t>
      </w:r>
      <w:r>
        <w:t>Select the top three risks and justify the ranking with observable evidence.</w:t>
      </w:r>
    </w:p>
    <w:p>
      <w:pPr>
        <w:spacing w:after="100"/>
      </w:pPr>
      <w:r>
        <w:rPr>
          <w:b/>
        </w:rPr>
        <w:t xml:space="preserve">8. </w:t>
      </w:r>
      <w:r>
        <w:t>Propose one elimination, one grounding/bonding and one administrative control.</w:t>
      </w:r>
    </w:p>
    <w:p>
      <w:pPr>
        <w:spacing w:after="100"/>
      </w:pPr>
      <w:r>
        <w:rPr>
          <w:b/>
        </w:rPr>
        <w:t xml:space="preserve">9. </w:t>
      </w:r>
      <w:r>
        <w:t>Define the measurement needed to confirm each proposed control.</w:t>
      </w:r>
    </w:p>
    <w:p>
      <w:pPr>
        <w:spacing w:after="100"/>
      </w:pPr>
      <w:r>
        <w:rPr>
          <w:b/>
        </w:rPr>
        <w:t xml:space="preserve">10. </w:t>
      </w:r>
      <w:r>
        <w:t>Conduct a peer challenge: another group must identify one missed pathway or weak assumption.</w:t>
      </w:r>
    </w:p>
    <w:p>
      <w:pPr>
        <w:spacing w:after="100"/>
      </w:pPr>
      <w:r>
        <w:rPr>
          <w:b/>
        </w:rPr>
        <w:t xml:space="preserve">11. </w:t>
      </w:r>
      <w:r>
        <w:t>Revise the map and record the change made after peer review.</w:t>
      </w:r>
    </w:p>
    <w:p>
      <w:pPr>
        <w:spacing w:after="100"/>
      </w:pPr>
      <w:r>
        <w:rPr>
          <w:b/>
        </w:rPr>
        <w:t xml:space="preserve">12. </w:t>
      </w:r>
      <w:r>
        <w:t>Submit the completed hazard map, risk register and three-control proposal.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Which hazard could damage a device without a visible spark?</w:t>
      </w:r>
    </w:p>
    <w:p>
      <w:pPr>
        <w:pStyle w:val="ListBullet"/>
        <w:spacing w:after="60"/>
      </w:pPr>
      <w:r>
        <w:t>Which metal object could remain charged despite being conductive?</w:t>
      </w:r>
    </w:p>
    <w:p>
      <w:pPr>
        <w:pStyle w:val="ListBullet"/>
        <w:spacing w:after="60"/>
      </w:pPr>
      <w:r>
        <w:t>What evidence would distinguish induction risk from direct contact?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Annotated hazard map</w:t>
      </w:r>
    </w:p>
    <w:p>
      <w:pPr>
        <w:pStyle w:val="ListBullet"/>
        <w:spacing w:after="60"/>
      </w:pPr>
      <w:r>
        <w:t>Risk-prioritisation worksheet</w:t>
      </w:r>
    </w:p>
    <w:p>
      <w:pPr>
        <w:pStyle w:val="ListBullet"/>
        <w:spacing w:after="60"/>
      </w:pPr>
      <w:r>
        <w:t>Three-control proposal</w:t>
      </w:r>
    </w:p>
    <w:p>
      <w:pPr>
        <w:pStyle w:val="ListBullet"/>
        <w:spacing w:after="60"/>
      </w:pPr>
      <w:r>
        <w:t>Peer-review note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At least eight credible hazards are identified</w:t>
      </w:r>
    </w:p>
    <w:p>
      <w:pPr>
        <w:pStyle w:val="ListBullet"/>
        <w:spacing w:after="60"/>
      </w:pPr>
      <w:r>
        <w:t>☐ Both direct and field-induced pathways are shown</w:t>
      </w:r>
    </w:p>
    <w:p>
      <w:pPr>
        <w:pStyle w:val="ListBullet"/>
        <w:spacing w:after="60"/>
      </w:pPr>
      <w:r>
        <w:t>☐ Top risks have evidence-based ratings</w:t>
      </w:r>
    </w:p>
    <w:p>
      <w:pPr>
        <w:pStyle w:val="ListBullet"/>
        <w:spacing w:after="60"/>
      </w:pPr>
      <w:r>
        <w:t>☐ Controls follow the ESD control hierarchy</w:t>
      </w:r>
    </w:p>
    <w:p>
      <w:pPr>
        <w:pStyle w:val="Heading1"/>
      </w:pPr>
      <w:r>
        <w:t>Activity 2: Medical Microchip Failure Triage: ESD, EOS or Process Defect?</w:t>
      </w:r>
    </w:p>
    <w:p>
      <w:r>
        <w:t>Mapping: K1 · A1. Objective: Build an evidence-based hypothesis that separates HBM/CDM exposure, EOS and non-electrical process causes.</w:t>
      </w:r>
    </w:p>
    <w:p>
      <w:pPr>
        <w:pStyle w:val="Heading2"/>
      </w:pPr>
      <w:r>
        <w:t>Scenario</w:t>
      </w:r>
    </w:p>
    <w:p>
      <w:r>
        <w:t>A medical-device ASIC passes wafer test but shows intermittent leakage after final assembly. A handler alarm occurred during the lot, yet the power-supply log also shows a transient. Management wants a defensible triage before quarantined product is released.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Review the event chronology, product symptoms, handler alarm and power-transient records.</w:t>
      </w:r>
    </w:p>
    <w:p>
      <w:pPr>
        <w:spacing w:after="100"/>
      </w:pPr>
      <w:r>
        <w:rPr>
          <w:b/>
        </w:rPr>
        <w:t xml:space="preserve">2. </w:t>
      </w:r>
      <w:r>
        <w:t>Classify each clue as product, process, equipment, environmental or personnel evidence.</w:t>
      </w:r>
    </w:p>
    <w:p>
      <w:pPr>
        <w:spacing w:after="100"/>
      </w:pPr>
      <w:r>
        <w:rPr>
          <w:b/>
        </w:rPr>
        <w:t xml:space="preserve">3. </w:t>
      </w:r>
      <w:r>
        <w:t>Describe the HBM and CDM mechanisms that could fit the handling sequence.</w:t>
      </w:r>
    </w:p>
    <w:p>
      <w:pPr>
        <w:spacing w:after="100"/>
      </w:pPr>
      <w:r>
        <w:rPr>
          <w:b/>
        </w:rPr>
        <w:t xml:space="preserve">4. </w:t>
      </w:r>
      <w:r>
        <w:t>Describe the EOS mechanism that could fit the power record.</w:t>
      </w:r>
    </w:p>
    <w:p>
      <w:pPr>
        <w:spacing w:after="100"/>
      </w:pPr>
      <w:r>
        <w:rPr>
          <w:b/>
        </w:rPr>
        <w:t xml:space="preserve">5. </w:t>
      </w:r>
      <w:r>
        <w:t>List at least two non-ESD alternatives that must remain open.</w:t>
      </w:r>
    </w:p>
    <w:p>
      <w:pPr>
        <w:spacing w:after="100"/>
      </w:pPr>
      <w:r>
        <w:rPr>
          <w:b/>
        </w:rPr>
        <w:t xml:space="preserve">6. </w:t>
      </w:r>
      <w:r>
        <w:t>Create a comparison matrix of expected evidence for catastrophic, latent/cumulative and EOS damage.</w:t>
      </w:r>
    </w:p>
    <w:p>
      <w:pPr>
        <w:spacing w:after="100"/>
      </w:pPr>
      <w:r>
        <w:rPr>
          <w:b/>
        </w:rPr>
        <w:t xml:space="preserve">7. </w:t>
      </w:r>
      <w:r>
        <w:t>Select immediate containment for the lot and neighbouring lots.</w:t>
      </w:r>
    </w:p>
    <w:p>
      <w:pPr>
        <w:spacing w:after="100"/>
      </w:pPr>
      <w:r>
        <w:rPr>
          <w:b/>
        </w:rPr>
        <w:t xml:space="preserve">8. </w:t>
      </w:r>
      <w:r>
        <w:t>Specify non-destructive checks before destructive failure analysis.</w:t>
      </w:r>
    </w:p>
    <w:p>
      <w:pPr>
        <w:spacing w:after="100"/>
      </w:pPr>
      <w:r>
        <w:rPr>
          <w:b/>
        </w:rPr>
        <w:t xml:space="preserve">9. </w:t>
      </w:r>
      <w:r>
        <w:t>Define the samples and controls required for a credible comparison.</w:t>
      </w:r>
    </w:p>
    <w:p>
      <w:pPr>
        <w:spacing w:after="100"/>
      </w:pPr>
      <w:r>
        <w:rPr>
          <w:b/>
        </w:rPr>
        <w:t xml:space="preserve">10. </w:t>
      </w:r>
      <w:r>
        <w:t>State what result would support or weaken each hypothesis.</w:t>
      </w:r>
    </w:p>
    <w:p>
      <w:pPr>
        <w:spacing w:after="100"/>
      </w:pPr>
      <w:r>
        <w:rPr>
          <w:b/>
        </w:rPr>
        <w:t xml:space="preserve">11. </w:t>
      </w:r>
      <w:r>
        <w:t>Prepare a five-minute management briefing that avoids claiming ESD without proof.</w:t>
      </w:r>
    </w:p>
    <w:p>
      <w:pPr>
        <w:spacing w:after="100"/>
      </w:pPr>
      <w:r>
        <w:rPr>
          <w:b/>
        </w:rPr>
        <w:t xml:space="preserve">12. </w:t>
      </w:r>
      <w:r>
        <w:t>Record the next decision gate and authorised disposition options.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Why is a monitor alarm not proof that this device was damaged by ESD?</w:t>
      </w:r>
    </w:p>
    <w:p>
      <w:pPr>
        <w:pStyle w:val="ListBullet"/>
        <w:spacing w:after="60"/>
      </w:pPr>
      <w:r>
        <w:t>Which facts make CDM plausible?</w:t>
      </w:r>
    </w:p>
    <w:p>
      <w:pPr>
        <w:pStyle w:val="ListBullet"/>
        <w:spacing w:after="60"/>
      </w:pPr>
      <w:r>
        <w:t>What would make the latent-failure claim weak?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Chronology</w:t>
      </w:r>
    </w:p>
    <w:p>
      <w:pPr>
        <w:pStyle w:val="ListBullet"/>
        <w:spacing w:after="60"/>
      </w:pPr>
      <w:r>
        <w:t>Hypothesis matrix</w:t>
      </w:r>
    </w:p>
    <w:p>
      <w:pPr>
        <w:pStyle w:val="ListBullet"/>
        <w:spacing w:after="60"/>
      </w:pPr>
      <w:r>
        <w:t>Containment plan</w:t>
      </w:r>
    </w:p>
    <w:p>
      <w:pPr>
        <w:pStyle w:val="ListBullet"/>
        <w:spacing w:after="60"/>
      </w:pPr>
      <w:r>
        <w:t>Decision-gate briefing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ESD, EOS and process alternatives remain explicit</w:t>
      </w:r>
    </w:p>
    <w:p>
      <w:pPr>
        <w:pStyle w:val="ListBullet"/>
        <w:spacing w:after="60"/>
      </w:pPr>
      <w:r>
        <w:t>☐ Evidence needed for each hypothesis is stated</w:t>
      </w:r>
    </w:p>
    <w:p>
      <w:pPr>
        <w:pStyle w:val="ListBullet"/>
        <w:spacing w:after="60"/>
      </w:pPr>
      <w:r>
        <w:t>☐ Containment protects product and evidence</w:t>
      </w:r>
    </w:p>
    <w:p>
      <w:pPr>
        <w:pStyle w:val="ListBullet"/>
        <w:spacing w:after="60"/>
      </w:pPr>
      <w:r>
        <w:t>☐ Conclusions use calibrated language</w:t>
      </w:r>
    </w:p>
    <w:p>
      <w:pPr>
        <w:pStyle w:val="Heading1"/>
      </w:pPr>
      <w:r>
        <w:t>Module 2: ESD Control Principles, Equipment and Practices</w:t>
      </w:r>
    </w:p>
    <w:p>
      <w:r>
        <w:t>Mapping: K1 · K3 · K4 · A1. EPA design · grounding and bonding · personnel controls · ionisation · packaging · maintenance</w:t>
      </w:r>
    </w:p>
    <w:p>
      <w:pPr>
        <w:pStyle w:val="Heading2"/>
      </w:pPr>
      <w:r>
        <w:t>The ESD control hierarchy</w:t>
      </w:r>
    </w:p>
    <w:p>
      <w:pPr>
        <w:pStyle w:val="ListBullet"/>
        <w:spacing w:after="60"/>
      </w:pPr>
      <w:r>
        <w:t>Identify ESDS items and process limits</w:t>
      </w:r>
    </w:p>
    <w:p>
      <w:pPr>
        <w:pStyle w:val="ListBullet"/>
        <w:spacing w:after="60"/>
      </w:pPr>
      <w:r>
        <w:t>Remove unnecessary charge generators</w:t>
      </w:r>
    </w:p>
    <w:p>
      <w:pPr>
        <w:pStyle w:val="ListBullet"/>
        <w:spacing w:after="60"/>
      </w:pPr>
      <w:r>
        <w:t>Ground and bond conductors</w:t>
      </w:r>
    </w:p>
    <w:p>
      <w:pPr>
        <w:pStyle w:val="ListBullet"/>
        <w:spacing w:after="60"/>
      </w:pPr>
      <w:r>
        <w:t>Neutralise essential insulators</w:t>
      </w:r>
    </w:p>
    <w:p>
      <w:pPr>
        <w:pStyle w:val="ListBullet"/>
        <w:spacing w:after="60"/>
      </w:pPr>
      <w:r>
        <w:t>Shield during storage and transport</w:t>
      </w:r>
    </w:p>
    <w:p>
      <w:pPr>
        <w:pStyle w:val="ListBullet"/>
        <w:spacing w:after="60"/>
      </w:pPr>
      <w:r>
        <w:t>Verify and improve</w:t>
      </w:r>
    </w:p>
    <w:p>
      <w:r>
        <w:rPr>
          <w:b/>
          <w:color w:val="1F6FEB"/>
        </w:rPr>
        <w:t xml:space="preserve">Decision takeaway: </w:t>
      </w:r>
      <w:r>
        <w:t>No single wrist strap is an ESD control programme.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Electrostatic Protected Area (EPA)</w:t>
      </w:r>
    </w:p>
    <w:p>
      <w:pPr>
        <w:pStyle w:val="ListBullet"/>
        <w:spacing w:after="60"/>
      </w:pPr>
      <w:r>
        <w:t>Boundary — A defined area with controlled entry and clear visual identification.</w:t>
      </w:r>
    </w:p>
    <w:p>
      <w:pPr>
        <w:pStyle w:val="ListBullet"/>
        <w:spacing w:after="60"/>
      </w:pPr>
      <w:r>
        <w:t>Common point — A known reference for compatible grounding and bonding.</w:t>
      </w:r>
    </w:p>
    <w:p>
      <w:pPr>
        <w:pStyle w:val="ListBullet"/>
        <w:spacing w:after="60"/>
      </w:pPr>
      <w:r>
        <w:t>Approved items — Only qualified materials, tools and equipment inside.</w:t>
      </w:r>
    </w:p>
    <w:p>
      <w:pPr>
        <w:pStyle w:val="ListBullet"/>
        <w:spacing w:after="60"/>
      </w:pPr>
      <w:r>
        <w:t>Behaviour — Handling rules, training and compliance verification are enforced.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Grounding versus bonding</w:t>
      </w:r>
    </w:p>
    <w:p>
      <w:pPr>
        <w:pStyle w:val="ListBullet"/>
        <w:spacing w:after="60"/>
      </w:pPr>
      <w:r>
        <w:t>Grounding connects a conductor to a verified reference.</w:t>
      </w:r>
    </w:p>
    <w:p>
      <w:pPr>
        <w:pStyle w:val="ListBullet"/>
        <w:spacing w:after="60"/>
      </w:pPr>
      <w:r>
        <w:t>Personnel and equipment paths must be compatible with safety requirements.</w:t>
      </w:r>
    </w:p>
    <w:p>
      <w:pPr>
        <w:pStyle w:val="ListBullet"/>
        <w:spacing w:after="60"/>
      </w:pPr>
      <w:r>
        <w:t>Bonding connects conductors so they remain at substantially the same potential.</w:t>
      </w:r>
    </w:p>
    <w:p>
      <w:pPr>
        <w:pStyle w:val="ListBullet"/>
        <w:spacing w:after="60"/>
      </w:pPr>
      <w:r>
        <w:t>Bond isolated metal objects even when they are not intentionally energised.</w:t>
      </w:r>
    </w:p>
    <w:p>
      <w:r>
        <w:rPr>
          <w:b/>
          <w:color w:val="1F6FEB"/>
        </w:rPr>
        <w:t xml:space="preserve">Decision takeaway: </w:t>
      </w:r>
      <w:r>
        <w:t>The objective is equipotential handling—not simply attaching more wires.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Common point ground architecture</w:t>
      </w:r>
    </w:p>
    <w:p>
      <w:pPr>
        <w:pStyle w:val="ListBullet"/>
        <w:spacing w:after="60"/>
      </w:pPr>
      <w:r>
        <w:t>Facilities/equipment ground verified</w:t>
      </w:r>
    </w:p>
    <w:p>
      <w:pPr>
        <w:pStyle w:val="ListBullet"/>
        <w:spacing w:after="60"/>
      </w:pPr>
      <w:r>
        <w:t>EPA common point established</w:t>
      </w:r>
    </w:p>
    <w:p>
      <w:pPr>
        <w:pStyle w:val="ListBullet"/>
        <w:spacing w:after="60"/>
      </w:pPr>
      <w:r>
        <w:t>Mat and fixtures bonded</w:t>
      </w:r>
    </w:p>
    <w:p>
      <w:pPr>
        <w:pStyle w:val="ListBullet"/>
        <w:spacing w:after="60"/>
      </w:pPr>
      <w:r>
        <w:t>Personnel grounding connected</w:t>
      </w:r>
    </w:p>
    <w:p>
      <w:pPr>
        <w:pStyle w:val="ListBullet"/>
        <w:spacing w:after="60"/>
      </w:pPr>
      <w:r>
        <w:t>Continuity monitored and recorded</w:t>
      </w:r>
    </w:p>
    <w:p>
      <w:r>
        <w:rPr>
          <w:b/>
          <w:color w:val="1F6FEB"/>
        </w:rPr>
        <w:t xml:space="preserve">Decision takeaway: </w:t>
      </w:r>
      <w:r>
        <w:t>Traceable paths make faults diagnosable.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Personnel grounding choices</w:t>
      </w:r>
    </w:p>
    <w:p>
      <w:pPr>
        <w:pStyle w:val="ListBullet"/>
        <w:spacing w:after="60"/>
      </w:pPr>
      <w:r>
        <w:t>Seated work — Wrist strap with tested cord and verified connection.</w:t>
      </w:r>
    </w:p>
    <w:p>
      <w:pPr>
        <w:pStyle w:val="ListBullet"/>
        <w:spacing w:after="60"/>
      </w:pPr>
      <w:r>
        <w:t>Standing/mobile — Foot grounders or qualified footwear/flooring system.</w:t>
      </w:r>
    </w:p>
    <w:p>
      <w:pPr>
        <w:pStyle w:val="ListBullet"/>
        <w:spacing w:after="60"/>
      </w:pPr>
      <w:r>
        <w:t>Continuous monitoring — Real-time alarm when the selected path leaves limits.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Wrist-strap control loop</w:t>
      </w:r>
    </w:p>
    <w:p>
      <w:pPr>
        <w:pStyle w:val="ListBullet"/>
        <w:spacing w:after="60"/>
      </w:pPr>
      <w:r>
        <w:t>Inspect band and cord</w:t>
      </w:r>
    </w:p>
    <w:p>
      <w:pPr>
        <w:pStyle w:val="ListBullet"/>
        <w:spacing w:after="60"/>
      </w:pPr>
      <w:r>
        <w:t>Test before use</w:t>
      </w:r>
    </w:p>
    <w:p>
      <w:pPr>
        <w:pStyle w:val="ListBullet"/>
        <w:spacing w:after="60"/>
      </w:pPr>
      <w:r>
        <w:t>Connect to approved point</w:t>
      </w:r>
    </w:p>
    <w:p>
      <w:pPr>
        <w:pStyle w:val="ListBullet"/>
        <w:spacing w:after="60"/>
      </w:pPr>
      <w:r>
        <w:t>Maintain skin contact</w:t>
      </w:r>
    </w:p>
    <w:p>
      <w:pPr>
        <w:pStyle w:val="ListBullet"/>
        <w:spacing w:after="60"/>
      </w:pPr>
      <w:r>
        <w:t>Respond immediately to alarm/failure</w:t>
      </w:r>
    </w:p>
    <w:p>
      <w:r>
        <w:rPr>
          <w:b/>
          <w:color w:val="1F6FEB"/>
        </w:rPr>
        <w:t xml:space="preserve">Decision takeaway: </w:t>
      </w:r>
      <w:r>
        <w:t>A strap is effective only when the complete person–device–ground path works.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Footwear and flooring as a system</w:t>
      </w:r>
    </w:p>
    <w:p>
      <w:pPr>
        <w:pStyle w:val="ListBullet"/>
        <w:spacing w:after="60"/>
      </w:pPr>
      <w:r>
        <w:t>Foot grounders/ESD footwear provide the personnel interface.</w:t>
      </w:r>
    </w:p>
    <w:p>
      <w:pPr>
        <w:pStyle w:val="ListBullet"/>
        <w:spacing w:after="60"/>
      </w:pPr>
      <w:r>
        <w:t>Correct wear and both-foot coverage matter.</w:t>
      </w:r>
    </w:p>
    <w:p>
      <w:pPr>
        <w:pStyle w:val="ListBullet"/>
        <w:spacing w:after="60"/>
      </w:pPr>
      <w:r>
        <w:t>Qualified flooring completes the path.</w:t>
      </w:r>
    </w:p>
    <w:p>
      <w:pPr>
        <w:pStyle w:val="ListBullet"/>
        <w:spacing w:after="60"/>
      </w:pPr>
      <w:r>
        <w:t>Contamination, wax, humidity and wear can change performance.</w:t>
      </w:r>
    </w:p>
    <w:p>
      <w:r>
        <w:rPr>
          <w:b/>
          <w:color w:val="1F6FEB"/>
        </w:rPr>
        <w:t xml:space="preserve">Decision takeaway: </w:t>
      </w:r>
      <w:r>
        <w:t>Do not approve footwear independently of the floor and test method.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Worksurface and tool control</w:t>
      </w:r>
    </w:p>
    <w:p>
      <w:pPr>
        <w:pStyle w:val="ListBullet"/>
        <w:spacing w:after="60"/>
      </w:pPr>
      <w:r>
        <w:t>Dissipative mat — Provides controlled charge decay and a defined work zone.</w:t>
      </w:r>
    </w:p>
    <w:p>
      <w:pPr>
        <w:pStyle w:val="ListBullet"/>
        <w:spacing w:after="60"/>
      </w:pPr>
      <w:r>
        <w:t>Grounded fixtures — Prevents isolated conductive metal.</w:t>
      </w:r>
    </w:p>
    <w:p>
      <w:pPr>
        <w:pStyle w:val="ListBullet"/>
        <w:spacing w:after="60"/>
      </w:pPr>
      <w:r>
        <w:t>ESD-safe tools — Tweezers, brushes and dispensers selected for the process.</w:t>
      </w:r>
    </w:p>
    <w:p>
      <w:pPr>
        <w:pStyle w:val="ListBullet"/>
        <w:spacing w:after="60"/>
      </w:pPr>
      <w:r>
        <w:t>Housekeeping — Cleaners and residues must not defeat electrical properties.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Essential insulators</w:t>
      </w:r>
    </w:p>
    <w:p>
      <w:pPr>
        <w:pStyle w:val="ListBullet"/>
        <w:spacing w:after="60"/>
      </w:pPr>
      <w:r>
        <w:t>Identify the process need</w:t>
      </w:r>
    </w:p>
    <w:p>
      <w:pPr>
        <w:pStyle w:val="ListBullet"/>
        <w:spacing w:after="60"/>
      </w:pPr>
      <w:r>
        <w:t>Measure field at the actual use distance</w:t>
      </w:r>
    </w:p>
    <w:p>
      <w:pPr>
        <w:pStyle w:val="ListBullet"/>
        <w:spacing w:after="60"/>
      </w:pPr>
      <w:r>
        <w:t>Increase separation where possible</w:t>
      </w:r>
    </w:p>
    <w:p>
      <w:pPr>
        <w:pStyle w:val="ListBullet"/>
        <w:spacing w:after="60"/>
      </w:pPr>
      <w:r>
        <w:t>Apply ionisation or shielding</w:t>
      </w:r>
    </w:p>
    <w:p>
      <w:pPr>
        <w:pStyle w:val="ListBullet"/>
        <w:spacing w:after="60"/>
      </w:pPr>
      <w:r>
        <w:t>Verify after changes</w:t>
      </w:r>
    </w:p>
    <w:p>
      <w:r>
        <w:rPr>
          <w:b/>
          <w:color w:val="1F6FEB"/>
        </w:rPr>
        <w:t xml:space="preserve">Decision takeaway: </w:t>
      </w:r>
      <w:r>
        <w:t>Grounding an insulator does not remove its localised charge.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Ionisation</w:t>
      </w:r>
    </w:p>
    <w:p>
      <w:pPr>
        <w:pStyle w:val="ListBullet"/>
        <w:spacing w:after="60"/>
      </w:pPr>
      <w:r>
        <w:t>Balanced positive and negative ions neutralise charges on insulators and isolated conductors.</w:t>
      </w:r>
    </w:p>
    <w:p>
      <w:pPr>
        <w:pStyle w:val="ListBullet"/>
        <w:spacing w:after="60"/>
      </w:pPr>
      <w:r>
        <w:t>Use where grounding is ineffective or impossible.</w:t>
      </w:r>
    </w:p>
    <w:p>
      <w:pPr>
        <w:pStyle w:val="ListBullet"/>
        <w:spacing w:after="60"/>
      </w:pPr>
      <w:r>
        <w:t>Verify offset/balance and decay performance at the work location.</w:t>
      </w:r>
    </w:p>
    <w:p>
      <w:pPr>
        <w:pStyle w:val="ListBullet"/>
        <w:spacing w:after="60"/>
      </w:pPr>
      <w:r>
        <w:t>Airflow, distance, contamination and emitter maintenance affect results.</w:t>
      </w:r>
    </w:p>
    <w:p>
      <w:r>
        <w:rPr>
          <w:b/>
          <w:color w:val="1F6FEB"/>
        </w:rPr>
        <w:t xml:space="preserve">Decision takeaway: </w:t>
      </w:r>
      <w:r>
        <w:t>An ioniser supplements—not replaces—grounding.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Electrostatic field shielding</w:t>
      </w:r>
    </w:p>
    <w:p>
      <w:pPr>
        <w:pStyle w:val="ListBullet"/>
        <w:spacing w:after="60"/>
      </w:pPr>
      <w:r>
        <w:t>Conductive enclosure — Redistributes external charge and protects contents when closed.</w:t>
      </w:r>
    </w:p>
    <w:p>
      <w:pPr>
        <w:pStyle w:val="ListBullet"/>
        <w:spacing w:after="60"/>
      </w:pPr>
      <w:r>
        <w:t>Shielding bag — Provides a protective envelope for transport outside the EPA.</w:t>
      </w:r>
    </w:p>
    <w:p>
      <w:pPr>
        <w:pStyle w:val="ListBullet"/>
        <w:spacing w:after="60"/>
      </w:pPr>
      <w:r>
        <w:t>Continuity — Seams, closures and openings determine actual performance.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Packaging functions are different</w:t>
      </w:r>
    </w:p>
    <w:p>
      <w:pPr>
        <w:pStyle w:val="ListBullet"/>
        <w:spacing w:after="60"/>
      </w:pPr>
      <w:r>
        <w:t>Low charging — Limits triboelectric generation during contact/separation.</w:t>
      </w:r>
    </w:p>
    <w:p>
      <w:pPr>
        <w:pStyle w:val="ListBullet"/>
        <w:spacing w:after="60"/>
      </w:pPr>
      <w:r>
        <w:t>Dissipative — Moves charge in a controlled way.</w:t>
      </w:r>
    </w:p>
    <w:p>
      <w:pPr>
        <w:pStyle w:val="ListBullet"/>
        <w:spacing w:after="60"/>
      </w:pPr>
      <w:r>
        <w:t>Conductive — Rapidly redistributes charge; may need grounding.</w:t>
      </w:r>
    </w:p>
    <w:p>
      <w:pPr>
        <w:pStyle w:val="ListBullet"/>
        <w:spacing w:after="60"/>
      </w:pPr>
      <w:r>
        <w:t>Shielding — Attenuates discharge current and electrostatic fields around contents.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Handling ESDS items</w:t>
      </w:r>
    </w:p>
    <w:p>
      <w:pPr>
        <w:pStyle w:val="ListBullet"/>
        <w:spacing w:after="60"/>
      </w:pPr>
      <w:r>
        <w:t>Confirm EPA readiness</w:t>
      </w:r>
    </w:p>
    <w:p>
      <w:pPr>
        <w:pStyle w:val="ListBullet"/>
        <w:spacing w:after="60"/>
      </w:pPr>
      <w:r>
        <w:t>Ground the handler</w:t>
      </w:r>
    </w:p>
    <w:p>
      <w:pPr>
        <w:pStyle w:val="ListBullet"/>
        <w:spacing w:after="60"/>
      </w:pPr>
      <w:r>
        <w:t>Open shielding package inside EPA</w:t>
      </w:r>
    </w:p>
    <w:p>
      <w:pPr>
        <w:pStyle w:val="ListBullet"/>
        <w:spacing w:after="60"/>
      </w:pPr>
      <w:r>
        <w:t>Handle by body/edges</w:t>
      </w:r>
    </w:p>
    <w:p>
      <w:pPr>
        <w:pStyle w:val="ListBullet"/>
        <w:spacing w:after="60"/>
      </w:pPr>
      <w:r>
        <w:t>Return to protective packaging before leaving</w:t>
      </w:r>
    </w:p>
    <w:p>
      <w:r>
        <w:rPr>
          <w:b/>
        </w:rPr>
        <w:t xml:space="preserve">Source alignment: </w:t>
      </w:r>
      <w:r>
        <w:t>Analog Devices; electrostatic-sensitive device overview</w:t>
      </w:r>
    </w:p>
    <w:p>
      <w:pPr>
        <w:pStyle w:val="Heading2"/>
      </w:pPr>
      <w:r>
        <w:t>Garments, gloves and finger cots</w:t>
      </w:r>
    </w:p>
    <w:p>
      <w:pPr>
        <w:pStyle w:val="ListBullet"/>
        <w:spacing w:after="60"/>
      </w:pPr>
      <w:r>
        <w:t>Garments control charge from clothing and help contain personal items.</w:t>
      </w:r>
    </w:p>
    <w:p>
      <w:pPr>
        <w:pStyle w:val="ListBullet"/>
        <w:spacing w:after="60"/>
      </w:pPr>
      <w:r>
        <w:t>Select design and grounding method for the process.</w:t>
      </w:r>
    </w:p>
    <w:p>
      <w:pPr>
        <w:pStyle w:val="ListBullet"/>
        <w:spacing w:after="60"/>
      </w:pPr>
      <w:r>
        <w:t>Gloves/finger cots may support contamination control but are not automatically ESD-safe.</w:t>
      </w:r>
    </w:p>
    <w:p>
      <w:pPr>
        <w:pStyle w:val="ListBullet"/>
        <w:spacing w:after="60"/>
      </w:pPr>
      <w:r>
        <w:t>Qualification and correct use are required.</w:t>
      </w:r>
    </w:p>
    <w:p>
      <w:r>
        <w:rPr>
          <w:b/>
          <w:color w:val="1F6FEB"/>
        </w:rPr>
        <w:t xml:space="preserve">Decision takeaway: </w:t>
      </w:r>
      <w:r>
        <w:t>PPE appearance does not prove electrical performance.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Carts, racks and material movement</w:t>
      </w:r>
    </w:p>
    <w:p>
      <w:pPr>
        <w:pStyle w:val="ListBullet"/>
        <w:spacing w:after="60"/>
      </w:pPr>
      <w:r>
        <w:t>Conductive wheels — Maintain the intended path only when floor contact is suitable.</w:t>
      </w:r>
    </w:p>
    <w:p>
      <w:pPr>
        <w:pStyle w:val="ListBullet"/>
        <w:spacing w:after="60"/>
      </w:pPr>
      <w:r>
        <w:t>No loose insulators — Remove ordinary plastic wrap and foam near exposed ESDS items.</w:t>
      </w:r>
    </w:p>
    <w:p>
      <w:pPr>
        <w:pStyle w:val="ListBullet"/>
        <w:spacing w:after="60"/>
      </w:pPr>
      <w:r>
        <w:t>Covered transport — Use closed qualified containers outside EPA boundaries.</w:t>
      </w:r>
    </w:p>
    <w:p>
      <w:pPr>
        <w:pStyle w:val="ListBullet"/>
        <w:spacing w:after="60"/>
      </w:pPr>
      <w:r>
        <w:t>Route control — Avoid high-charging areas and unmanaged handoffs.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Maintenance is part of control</w:t>
      </w:r>
    </w:p>
    <w:p>
      <w:pPr>
        <w:pStyle w:val="ListBullet"/>
        <w:spacing w:after="60"/>
      </w:pPr>
      <w:r>
        <w:t>Define owner and interval</w:t>
      </w:r>
    </w:p>
    <w:p>
      <w:pPr>
        <w:pStyle w:val="ListBullet"/>
        <w:spacing w:after="60"/>
      </w:pPr>
      <w:r>
        <w:t>Inspect and clean</w:t>
      </w:r>
    </w:p>
    <w:p>
      <w:pPr>
        <w:pStyle w:val="ListBullet"/>
        <w:spacing w:after="60"/>
      </w:pPr>
      <w:r>
        <w:t>Test with calibrated equipment</w:t>
      </w:r>
    </w:p>
    <w:p>
      <w:pPr>
        <w:pStyle w:val="ListBullet"/>
        <w:spacing w:after="60"/>
      </w:pPr>
      <w:r>
        <w:t>Record result and disposition</w:t>
      </w:r>
    </w:p>
    <w:p>
      <w:pPr>
        <w:pStyle w:val="ListBullet"/>
        <w:spacing w:after="60"/>
      </w:pPr>
      <w:r>
        <w:t>Trend failures and revise interval</w:t>
      </w:r>
    </w:p>
    <w:p>
      <w:r>
        <w:rPr>
          <w:b/>
          <w:color w:val="1F6FEB"/>
        </w:rPr>
        <w:t xml:space="preserve">Decision takeaway: </w:t>
      </w:r>
      <w:r>
        <w:t>A control item without verification is an assumption.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Common failure patterns</w:t>
      </w:r>
    </w:p>
    <w:p>
      <w:pPr>
        <w:pStyle w:val="ListBullet"/>
        <w:spacing w:after="60"/>
      </w:pPr>
      <w:r>
        <w:t>Disconnected strap — Cord attached to an unverified point or worn over clothing.</w:t>
      </w:r>
    </w:p>
    <w:p>
      <w:pPr>
        <w:pStyle w:val="ListBullet"/>
        <w:spacing w:after="60"/>
      </w:pPr>
      <w:r>
        <w:t>Open bag — Shielding package left open or folded incorrectly.</w:t>
      </w:r>
    </w:p>
    <w:p>
      <w:pPr>
        <w:pStyle w:val="ListBullet"/>
        <w:spacing w:after="60"/>
      </w:pPr>
      <w:r>
        <w:t>Insulator creep — Tape, foam, trays or paperwork introduced without review.</w:t>
      </w:r>
    </w:p>
    <w:p>
      <w:pPr>
        <w:pStyle w:val="ListBullet"/>
        <w:spacing w:after="60"/>
      </w:pPr>
      <w:r>
        <w:t>Bad response — Alarm bypassed, failed tester ignored or record completed retrospectively.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Supervisor’s EPA readiness review</w:t>
      </w:r>
    </w:p>
    <w:p>
      <w:pPr>
        <w:pStyle w:val="ListBullet"/>
        <w:spacing w:after="60"/>
      </w:pPr>
      <w:r>
        <w:t>People — Training current; grounding tested; behaviour observed.</w:t>
      </w:r>
    </w:p>
    <w:p>
      <w:pPr>
        <w:pStyle w:val="ListBullet"/>
        <w:spacing w:after="60"/>
      </w:pPr>
      <w:r>
        <w:t>Place — Boundary, common point, floor, mat and ioniser verified.</w:t>
      </w:r>
    </w:p>
    <w:p>
      <w:pPr>
        <w:pStyle w:val="ListBullet"/>
        <w:spacing w:after="60"/>
      </w:pPr>
      <w:r>
        <w:t>Product — Sensitivity known; packaging and process controls matched.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1"/>
      </w:pPr>
      <w:r>
        <w:t>Activity 3: Design and Commission an EPA for Orion Optics</w:t>
      </w:r>
    </w:p>
    <w:p>
      <w:r>
        <w:t>Mapping: K3 · K4 · A1. Objective: Design an EPA that controls people, place, product and process, then define commissioning evidence.</w:t>
      </w:r>
    </w:p>
    <w:p>
      <w:pPr>
        <w:pStyle w:val="Heading2"/>
      </w:pPr>
      <w:r>
        <w:t>Scenario</w:t>
      </w:r>
    </w:p>
    <w:p>
      <w:r>
        <w:t>Orion Optics is moving laser-diode assembly into a small shared lab. The proposed bench has a mat and wrist strap but no documented boundary, common point, insulator policy or readiness test.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Define the ESDS items, process steps and product-sensitivity information required before design approval.</w:t>
      </w:r>
    </w:p>
    <w:p>
      <w:pPr>
        <w:spacing w:after="100"/>
      </w:pPr>
      <w:r>
        <w:rPr>
          <w:b/>
        </w:rPr>
        <w:t xml:space="preserve">2. </w:t>
      </w:r>
      <w:r>
        <w:t>Draw the EPA boundary, entry point, product flow and locations of exposed handling.</w:t>
      </w:r>
    </w:p>
    <w:p>
      <w:pPr>
        <w:spacing w:after="100"/>
      </w:pPr>
      <w:r>
        <w:rPr>
          <w:b/>
        </w:rPr>
        <w:t xml:space="preserve">3. </w:t>
      </w:r>
      <w:r>
        <w:t>Select the facility/equipment ground reference and show the common-point architecture.</w:t>
      </w:r>
    </w:p>
    <w:p>
      <w:pPr>
        <w:spacing w:after="100"/>
      </w:pPr>
      <w:r>
        <w:rPr>
          <w:b/>
        </w:rPr>
        <w:t xml:space="preserve">4. </w:t>
      </w:r>
      <w:r>
        <w:t>Bond the mat, fixtures and other conductive objects on the diagram; flag unresolved isolated conductors.</w:t>
      </w:r>
    </w:p>
    <w:p>
      <w:pPr>
        <w:spacing w:after="100"/>
      </w:pPr>
      <w:r>
        <w:rPr>
          <w:b/>
        </w:rPr>
        <w:t xml:space="preserve">5. </w:t>
      </w:r>
      <w:r>
        <w:t>Choose personnel grounding for seated and mobile work and define the pre-use response to failure.</w:t>
      </w:r>
    </w:p>
    <w:p>
      <w:pPr>
        <w:spacing w:after="100"/>
      </w:pPr>
      <w:r>
        <w:rPr>
          <w:b/>
        </w:rPr>
        <w:t xml:space="preserve">6. </w:t>
      </w:r>
      <w:r>
        <w:t>Inventory essential/non-essential insulators and select removal, separation, shielding or ionisation controls.</w:t>
      </w:r>
    </w:p>
    <w:p>
      <w:pPr>
        <w:spacing w:after="100"/>
      </w:pPr>
      <w:r>
        <w:rPr>
          <w:b/>
        </w:rPr>
        <w:t xml:space="preserve">7. </w:t>
      </w:r>
      <w:r>
        <w:t>Specify storage and transport packaging inside and outside the EPA.</w:t>
      </w:r>
    </w:p>
    <w:p>
      <w:pPr>
        <w:spacing w:after="100"/>
      </w:pPr>
      <w:r>
        <w:rPr>
          <w:b/>
        </w:rPr>
        <w:t xml:space="preserve">8. </w:t>
      </w:r>
      <w:r>
        <w:t>Define signage, access, garments, tools and housekeeping requirements.</w:t>
      </w:r>
    </w:p>
    <w:p>
      <w:pPr>
        <w:spacing w:after="100"/>
      </w:pPr>
      <w:r>
        <w:rPr>
          <w:b/>
        </w:rPr>
        <w:t xml:space="preserve">9. </w:t>
      </w:r>
      <w:r>
        <w:t>Create a commissioning test plan for ground continuity, worksurface, personnel grounding and ionisation.</w:t>
      </w:r>
    </w:p>
    <w:p>
      <w:pPr>
        <w:spacing w:after="100"/>
      </w:pPr>
      <w:r>
        <w:rPr>
          <w:b/>
        </w:rPr>
        <w:t xml:space="preserve">10. </w:t>
      </w:r>
      <w:r>
        <w:t>Assign owners and record locations for qualification and verification evidence.</w:t>
      </w:r>
    </w:p>
    <w:p>
      <w:pPr>
        <w:spacing w:after="100"/>
      </w:pPr>
      <w:r>
        <w:rPr>
          <w:b/>
        </w:rPr>
        <w:t xml:space="preserve">11. </w:t>
      </w:r>
      <w:r>
        <w:t>Run a red-team review using the checklist and close every critical gap.</w:t>
      </w:r>
    </w:p>
    <w:p>
      <w:pPr>
        <w:spacing w:after="100"/>
      </w:pPr>
      <w:r>
        <w:rPr>
          <w:b/>
        </w:rPr>
        <w:t xml:space="preserve">12. </w:t>
      </w:r>
      <w:r>
        <w:t>Issue the EPA readiness certificate only when all acceptance criteria are met.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What makes the area an EPA rather than simply a bench with a mat?</w:t>
      </w:r>
    </w:p>
    <w:p>
      <w:pPr>
        <w:pStyle w:val="ListBullet"/>
        <w:spacing w:after="60"/>
      </w:pPr>
      <w:r>
        <w:t>Which item cannot be made safe by grounding alone?</w:t>
      </w:r>
    </w:p>
    <w:p>
      <w:pPr>
        <w:pStyle w:val="ListBullet"/>
        <w:spacing w:after="60"/>
      </w:pPr>
      <w:r>
        <w:t>What evidence authorises production start?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EPA layout</w:t>
      </w:r>
    </w:p>
    <w:p>
      <w:pPr>
        <w:pStyle w:val="ListBullet"/>
        <w:spacing w:after="60"/>
      </w:pPr>
      <w:r>
        <w:t>Grounding/bonding diagram</w:t>
      </w:r>
    </w:p>
    <w:p>
      <w:pPr>
        <w:pStyle w:val="ListBullet"/>
        <w:spacing w:after="60"/>
      </w:pPr>
      <w:r>
        <w:t>Insulator-control register</w:t>
      </w:r>
    </w:p>
    <w:p>
      <w:pPr>
        <w:pStyle w:val="ListBullet"/>
        <w:spacing w:after="60"/>
      </w:pPr>
      <w:r>
        <w:t>Commissioning plan and readiness certificate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Boundary and product flow are unambiguous</w:t>
      </w:r>
    </w:p>
    <w:p>
      <w:pPr>
        <w:pStyle w:val="ListBullet"/>
        <w:spacing w:after="60"/>
      </w:pPr>
      <w:r>
        <w:t>☐ All conductors have a resolved status</w:t>
      </w:r>
    </w:p>
    <w:p>
      <w:pPr>
        <w:pStyle w:val="ListBullet"/>
        <w:spacing w:after="60"/>
      </w:pPr>
      <w:r>
        <w:t>☐ Essential insulators have controls</w:t>
      </w:r>
    </w:p>
    <w:p>
      <w:pPr>
        <w:pStyle w:val="ListBullet"/>
        <w:spacing w:after="60"/>
      </w:pPr>
      <w:r>
        <w:t>☐ Commissioning includes method, limit, owner and response</w:t>
      </w:r>
    </w:p>
    <w:p>
      <w:pPr>
        <w:pStyle w:val="Heading1"/>
      </w:pPr>
      <w:r>
        <w:t>Activity 4: Select Controls for the Aster Robotics Handling Cell</w:t>
      </w:r>
    </w:p>
    <w:p>
      <w:r>
        <w:t>Mapping: K3 · K4 · A1. Objective: Match grounding, ionisation, shielding, handling and monitoring controls to both human and automated exposure pathways.</w:t>
      </w:r>
    </w:p>
    <w:p>
      <w:pPr>
        <w:pStyle w:val="Heading2"/>
      </w:pPr>
      <w:r>
        <w:t>Scenario</w:t>
      </w:r>
    </w:p>
    <w:p>
      <w:r>
        <w:t>A robot transfers packaged ICs from plastic tubes to a grounded nest. Operators also perform manual rework. The team proposes more wrist straps, but field readings near the tube exit remain high.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Map every charged-person, charged-device and charged-machine pathway through the cell.</w:t>
      </w:r>
    </w:p>
    <w:p>
      <w:pPr>
        <w:spacing w:after="100"/>
      </w:pPr>
      <w:r>
        <w:rPr>
          <w:b/>
        </w:rPr>
        <w:t xml:space="preserve">2. </w:t>
      </w:r>
      <w:r>
        <w:t>Identify where grounding is effective and where it is ineffective because the material is insulating.</w:t>
      </w:r>
    </w:p>
    <w:p>
      <w:pPr>
        <w:spacing w:after="100"/>
      </w:pPr>
      <w:r>
        <w:rPr>
          <w:b/>
        </w:rPr>
        <w:t xml:space="preserve">3. </w:t>
      </w:r>
      <w:r>
        <w:t>Select personnel grounding for normal operation, setup and manual rework.</w:t>
      </w:r>
    </w:p>
    <w:p>
      <w:pPr>
        <w:spacing w:after="100"/>
      </w:pPr>
      <w:r>
        <w:rPr>
          <w:b/>
        </w:rPr>
        <w:t xml:space="preserve">4. </w:t>
      </w:r>
      <w:r>
        <w:t>Select bonding and ground monitoring for robot fixtures, nests, tools and carts.</w:t>
      </w:r>
    </w:p>
    <w:p>
      <w:pPr>
        <w:spacing w:after="100"/>
      </w:pPr>
      <w:r>
        <w:rPr>
          <w:b/>
        </w:rPr>
        <w:t xml:space="preserve">5. </w:t>
      </w:r>
      <w:r>
        <w:t>Evaluate whether the plastic tubes are essential and document the decision.</w:t>
      </w:r>
    </w:p>
    <w:p>
      <w:pPr>
        <w:spacing w:after="100"/>
      </w:pPr>
      <w:r>
        <w:rPr>
          <w:b/>
        </w:rPr>
        <w:t xml:space="preserve">6. </w:t>
      </w:r>
      <w:r>
        <w:t>Define ioniser type, placement, airflow constraints and the required work-position checks.</w:t>
      </w:r>
    </w:p>
    <w:p>
      <w:pPr>
        <w:spacing w:after="100"/>
      </w:pPr>
      <w:r>
        <w:rPr>
          <w:b/>
        </w:rPr>
        <w:t xml:space="preserve">7. </w:t>
      </w:r>
      <w:r>
        <w:t>Choose packaging/transfer methods that preserve shielding until entry into the protected process.</w:t>
      </w:r>
    </w:p>
    <w:p>
      <w:pPr>
        <w:spacing w:after="100"/>
      </w:pPr>
      <w:r>
        <w:rPr>
          <w:b/>
        </w:rPr>
        <w:t xml:space="preserve">8. </w:t>
      </w:r>
      <w:r>
        <w:t>Define alarms, interlocks or stop conditions for loss of ground or ionisation.</w:t>
      </w:r>
    </w:p>
    <w:p>
      <w:pPr>
        <w:spacing w:after="100"/>
      </w:pPr>
      <w:r>
        <w:rPr>
          <w:b/>
        </w:rPr>
        <w:t xml:space="preserve">9. </w:t>
      </w:r>
      <w:r>
        <w:t>Create a preventive-maintenance plan with cleaning and verification intervals.</w:t>
      </w:r>
    </w:p>
    <w:p>
      <w:pPr>
        <w:spacing w:after="100"/>
      </w:pPr>
      <w:r>
        <w:rPr>
          <w:b/>
        </w:rPr>
        <w:t xml:space="preserve">10. </w:t>
      </w:r>
      <w:r>
        <w:t>Prepare a control-selection matrix linking each risk to control, owner, evidence and residual risk.</w:t>
      </w:r>
    </w:p>
    <w:p>
      <w:pPr>
        <w:spacing w:after="100"/>
      </w:pPr>
      <w:r>
        <w:rPr>
          <w:b/>
        </w:rPr>
        <w:t xml:space="preserve">11. </w:t>
      </w:r>
      <w:r>
        <w:t>Walk through a changeover and maintenance intervention to find temporary exposures.</w:t>
      </w:r>
    </w:p>
    <w:p>
      <w:pPr>
        <w:spacing w:after="100"/>
      </w:pPr>
      <w:r>
        <w:rPr>
          <w:b/>
        </w:rPr>
        <w:t xml:space="preserve">12. </w:t>
      </w:r>
      <w:r>
        <w:t>Present the selected design and respond to a cost-versus-risk challenge from management.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Why will adding wrist straps not solve the tube-exit field?</w:t>
      </w:r>
    </w:p>
    <w:p>
      <w:pPr>
        <w:pStyle w:val="ListBullet"/>
        <w:spacing w:after="60"/>
      </w:pPr>
      <w:r>
        <w:t>Which controls address CDM risk?</w:t>
      </w:r>
    </w:p>
    <w:p>
      <w:pPr>
        <w:pStyle w:val="ListBullet"/>
        <w:spacing w:after="60"/>
      </w:pPr>
      <w:r>
        <w:t>What should happen when an ioniser check fails?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Exposure-path map</w:t>
      </w:r>
    </w:p>
    <w:p>
      <w:pPr>
        <w:pStyle w:val="ListBullet"/>
        <w:spacing w:after="60"/>
      </w:pPr>
      <w:r>
        <w:t>Control-selection matrix</w:t>
      </w:r>
    </w:p>
    <w:p>
      <w:pPr>
        <w:pStyle w:val="ListBullet"/>
        <w:spacing w:after="60"/>
      </w:pPr>
      <w:r>
        <w:t>Monitoring/stop-condition plan</w:t>
      </w:r>
    </w:p>
    <w:p>
      <w:pPr>
        <w:pStyle w:val="ListBullet"/>
        <w:spacing w:after="60"/>
      </w:pPr>
      <w:r>
        <w:t>Maintenance plan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Controls cover human and automated pathways</w:t>
      </w:r>
    </w:p>
    <w:p>
      <w:pPr>
        <w:pStyle w:val="ListBullet"/>
        <w:spacing w:after="60"/>
      </w:pPr>
      <w:r>
        <w:t>☐ Insulators are addressed by an appropriate method</w:t>
      </w:r>
    </w:p>
    <w:p>
      <w:pPr>
        <w:pStyle w:val="ListBullet"/>
        <w:spacing w:after="60"/>
      </w:pPr>
      <w:r>
        <w:t>☐ Monitoring has explicit response actions</w:t>
      </w:r>
    </w:p>
    <w:p>
      <w:pPr>
        <w:pStyle w:val="ListBullet"/>
        <w:spacing w:after="60"/>
      </w:pPr>
      <w:r>
        <w:t>☐ Residual risk is stated</w:t>
      </w:r>
    </w:p>
    <w:p>
      <w:pPr>
        <w:pStyle w:val="Heading1"/>
      </w:pPr>
      <w:r>
        <w:t>Module 3: ESD Standards, Testing and Auditing</w:t>
      </w:r>
    </w:p>
    <w:p>
      <w:r>
        <w:t>Mapping: K2 · K3 · A2 · A3. Control programme structure · measurements · compliance verification · evidence · performance metrics</w:t>
      </w:r>
    </w:p>
    <w:p>
      <w:pPr>
        <w:pStyle w:val="Heading2"/>
      </w:pPr>
      <w:r>
        <w:t>Standards define a control system</w:t>
      </w:r>
    </w:p>
    <w:p>
      <w:pPr>
        <w:pStyle w:val="ListBullet"/>
        <w:spacing w:after="60"/>
      </w:pPr>
      <w:r>
        <w:t>ANSI/ESD S20.20 and IEC 61340-5-1 structure organisational controls for protecting ESDS items.</w:t>
      </w:r>
    </w:p>
    <w:p>
      <w:pPr>
        <w:pStyle w:val="ListBullet"/>
        <w:spacing w:after="60"/>
      </w:pPr>
      <w:r>
        <w:t>Use the current controlled copy, customer requirements and product sensitivity data for exact limits and methods.</w:t>
      </w:r>
    </w:p>
    <w:p>
      <w:r>
        <w:rPr>
          <w:b/>
          <w:color w:val="1F6FEB"/>
        </w:rPr>
        <w:t xml:space="preserve">Decision takeaway: </w:t>
      </w:r>
      <w:r>
        <w:t>Training slides are not a substitute for the purchased/current standard.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Control programme architecture</w:t>
      </w:r>
    </w:p>
    <w:p>
      <w:pPr>
        <w:pStyle w:val="ListBullet"/>
        <w:spacing w:after="60"/>
      </w:pPr>
      <w:r>
        <w:t>Scope and responsibilities</w:t>
      </w:r>
    </w:p>
    <w:p>
      <w:pPr>
        <w:pStyle w:val="ListBullet"/>
        <w:spacing w:after="60"/>
      </w:pPr>
      <w:r>
        <w:t>Technical requirements</w:t>
      </w:r>
    </w:p>
    <w:p>
      <w:pPr>
        <w:pStyle w:val="ListBullet"/>
        <w:spacing w:after="60"/>
      </w:pPr>
      <w:r>
        <w:t>Product qualification</w:t>
      </w:r>
    </w:p>
    <w:p>
      <w:pPr>
        <w:pStyle w:val="ListBullet"/>
        <w:spacing w:after="60"/>
      </w:pPr>
      <w:r>
        <w:t>Compliance verification</w:t>
      </w:r>
    </w:p>
    <w:p>
      <w:pPr>
        <w:pStyle w:val="ListBullet"/>
        <w:spacing w:after="60"/>
      </w:pPr>
      <w:r>
        <w:t>Records, corrective action and management review</w:t>
      </w:r>
    </w:p>
    <w:p>
      <w:r>
        <w:rPr>
          <w:b/>
        </w:rPr>
        <w:t xml:space="preserve">Source alignment: </w:t>
      </w:r>
      <w:r>
        <w:t>EOS/ESD Association</w:t>
      </w:r>
    </w:p>
    <w:p>
      <w:pPr>
        <w:pStyle w:val="Heading2"/>
      </w:pPr>
      <w:r>
        <w:t>Product qualification versus compliance verification</w:t>
      </w:r>
    </w:p>
    <w:p>
      <w:pPr>
        <w:pStyle w:val="ListBullet"/>
        <w:spacing w:after="60"/>
      </w:pPr>
      <w:r>
        <w:t>Qualification demonstrates that an ESD control item/type is capable of meeting specified requirements.</w:t>
      </w:r>
    </w:p>
    <w:p>
      <w:pPr>
        <w:pStyle w:val="ListBullet"/>
        <w:spacing w:after="60"/>
      </w:pPr>
      <w:r>
        <w:t>Evidence may include supplier data or internal testing.</w:t>
      </w:r>
    </w:p>
    <w:p>
      <w:pPr>
        <w:pStyle w:val="ListBullet"/>
        <w:spacing w:after="60"/>
      </w:pPr>
      <w:r>
        <w:t>Compliance verification checks that installed controls remain effective in routine use.</w:t>
      </w:r>
    </w:p>
    <w:p>
      <w:pPr>
        <w:pStyle w:val="ListBullet"/>
        <w:spacing w:after="60"/>
      </w:pPr>
      <w:r>
        <w:t>It uses defined methods, frequencies, limits and response actions.</w:t>
      </w:r>
    </w:p>
    <w:p>
      <w:r>
        <w:rPr>
          <w:b/>
          <w:color w:val="1F6FEB"/>
        </w:rPr>
        <w:t xml:space="preserve">Decision takeaway: </w:t>
      </w:r>
      <w:r>
        <w:t>Buying a qualified item does not eliminate ongoing checks.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Instrument-to-risk map</w:t>
      </w:r>
    </w:p>
    <w:p>
      <w:pPr>
        <w:pStyle w:val="ListBullet"/>
        <w:spacing w:after="60"/>
      </w:pPr>
      <w:r>
        <w:t>Resistance meter — Worksurfaces, floors, garments, packaging and ground paths.</w:t>
      </w:r>
    </w:p>
    <w:p>
      <w:pPr>
        <w:pStyle w:val="ListBullet"/>
        <w:spacing w:after="60"/>
      </w:pPr>
      <w:r>
        <w:t>Personnel tester — Wrist straps, footwear and person/footwear/floor systems.</w:t>
      </w:r>
    </w:p>
    <w:p>
      <w:pPr>
        <w:pStyle w:val="ListBullet"/>
        <w:spacing w:after="60"/>
      </w:pPr>
      <w:r>
        <w:t>Field meter — Electrostatic field and charged-object screening.</w:t>
      </w:r>
    </w:p>
    <w:p>
      <w:pPr>
        <w:pStyle w:val="ListBullet"/>
        <w:spacing w:after="60"/>
      </w:pPr>
      <w:r>
        <w:t>Charge plate monitor — Ioniser decay and offset/balance performance.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Measurement discipline</w:t>
      </w:r>
    </w:p>
    <w:p>
      <w:pPr>
        <w:pStyle w:val="ListBullet"/>
        <w:spacing w:after="60"/>
      </w:pPr>
      <w:r>
        <w:t>Define method and limit</w:t>
      </w:r>
    </w:p>
    <w:p>
      <w:pPr>
        <w:pStyle w:val="ListBullet"/>
        <w:spacing w:after="60"/>
      </w:pPr>
      <w:r>
        <w:t>Confirm calibration/status</w:t>
      </w:r>
    </w:p>
    <w:p>
      <w:pPr>
        <w:pStyle w:val="ListBullet"/>
        <w:spacing w:after="60"/>
      </w:pPr>
      <w:r>
        <w:t>Condition sample/environment</w:t>
      </w:r>
    </w:p>
    <w:p>
      <w:pPr>
        <w:pStyle w:val="ListBullet"/>
        <w:spacing w:after="60"/>
      </w:pPr>
      <w:r>
        <w:t>Measure at specified points</w:t>
      </w:r>
    </w:p>
    <w:p>
      <w:pPr>
        <w:pStyle w:val="ListBullet"/>
        <w:spacing w:after="60"/>
      </w:pPr>
      <w:r>
        <w:t>Record result and uncertainty/context</w:t>
      </w:r>
    </w:p>
    <w:p>
      <w:pPr>
        <w:pStyle w:val="ListBullet"/>
        <w:spacing w:after="60"/>
      </w:pPr>
      <w:r>
        <w:t>Act on failure</w:t>
      </w:r>
    </w:p>
    <w:p>
      <w:r>
        <w:rPr>
          <w:b/>
          <w:color w:val="1F6FEB"/>
        </w:rPr>
        <w:t xml:space="preserve">Decision takeaway: </w:t>
      </w:r>
      <w:r>
        <w:t>A number without method, units and conditions is weak evidence.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Wrist strap and footwear checks</w:t>
      </w:r>
    </w:p>
    <w:p>
      <w:pPr>
        <w:pStyle w:val="ListBullet"/>
        <w:spacing w:after="60"/>
      </w:pPr>
      <w:r>
        <w:t>Daily/user checks screen the assembled personal grounding path before work.</w:t>
      </w:r>
    </w:p>
    <w:p>
      <w:pPr>
        <w:pStyle w:val="ListBullet"/>
        <w:spacing w:after="60"/>
      </w:pPr>
      <w:r>
        <w:t>Failure requires immediate stop, retest and disposition.</w:t>
      </w:r>
    </w:p>
    <w:p>
      <w:pPr>
        <w:pStyle w:val="ListBullet"/>
        <w:spacing w:after="60"/>
      </w:pPr>
      <w:r>
        <w:t>Periodic technical checks verify components, testers and flooring systems.</w:t>
      </w:r>
    </w:p>
    <w:p>
      <w:pPr>
        <w:pStyle w:val="ListBullet"/>
        <w:spacing w:after="60"/>
      </w:pPr>
      <w:r>
        <w:t>Trend repeated failures by user, device, location and shift.</w:t>
      </w:r>
    </w:p>
    <w:p>
      <w:r>
        <w:rPr>
          <w:b/>
          <w:color w:val="1F6FEB"/>
        </w:rPr>
        <w:t xml:space="preserve">Decision takeaway: </w:t>
      </w:r>
      <w:r>
        <w:t>Do not pre-fill a log or accept an unexplained retest pass.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Surface and point-to-ground resistance</w:t>
      </w:r>
    </w:p>
    <w:p>
      <w:pPr>
        <w:pStyle w:val="ListBullet"/>
        <w:spacing w:after="60"/>
      </w:pPr>
      <w:r>
        <w:t>Point-to-point — Characterises the path across a surface/material.</w:t>
      </w:r>
    </w:p>
    <w:p>
      <w:pPr>
        <w:pStyle w:val="ListBullet"/>
        <w:spacing w:after="60"/>
      </w:pPr>
      <w:r>
        <w:t>Point-to-ground — Characterises the installed path to the designated ground.</w:t>
      </w:r>
    </w:p>
    <w:p>
      <w:pPr>
        <w:pStyle w:val="ListBullet"/>
        <w:spacing w:after="60"/>
      </w:pPr>
      <w:r>
        <w:t>Context — Electrodes, voltage, dwell, humidity and cleanliness influence the reading.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Ioniser performance checks</w:t>
      </w:r>
    </w:p>
    <w:p>
      <w:pPr>
        <w:pStyle w:val="ListBullet"/>
        <w:spacing w:after="60"/>
      </w:pPr>
      <w:r>
        <w:t>Inspect placement and airflow</w:t>
      </w:r>
    </w:p>
    <w:p>
      <w:pPr>
        <w:pStyle w:val="ListBullet"/>
        <w:spacing w:after="60"/>
      </w:pPr>
      <w:r>
        <w:t>Warm up per procedure</w:t>
      </w:r>
    </w:p>
    <w:p>
      <w:pPr>
        <w:pStyle w:val="ListBullet"/>
        <w:spacing w:after="60"/>
      </w:pPr>
      <w:r>
        <w:t>Measure positive/negative decay</w:t>
      </w:r>
    </w:p>
    <w:p>
      <w:pPr>
        <w:pStyle w:val="ListBullet"/>
        <w:spacing w:after="60"/>
      </w:pPr>
      <w:r>
        <w:t>Measure offset/balance</w:t>
      </w:r>
    </w:p>
    <w:p>
      <w:pPr>
        <w:pStyle w:val="ListBullet"/>
        <w:spacing w:after="60"/>
      </w:pPr>
      <w:r>
        <w:t>Clean or adjust</w:t>
      </w:r>
    </w:p>
    <w:p>
      <w:pPr>
        <w:pStyle w:val="ListBullet"/>
        <w:spacing w:after="60"/>
      </w:pPr>
      <w:r>
        <w:t>Repeat and record</w:t>
      </w:r>
    </w:p>
    <w:p>
      <w:r>
        <w:rPr>
          <w:b/>
          <w:color w:val="1F6FEB"/>
        </w:rPr>
        <w:t xml:space="preserve">Decision takeaway: </w:t>
      </w:r>
      <w:r>
        <w:t>Test at the product work position—not only next to the ioniser.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Audit evidence pyramid</w:t>
      </w:r>
    </w:p>
    <w:p>
      <w:pPr>
        <w:pStyle w:val="ListBullet"/>
        <w:spacing w:after="60"/>
      </w:pPr>
      <w:r>
        <w:t>Observe — Actual behaviour at the workstation.</w:t>
      </w:r>
    </w:p>
    <w:p>
      <w:pPr>
        <w:pStyle w:val="ListBullet"/>
        <w:spacing w:after="60"/>
      </w:pPr>
      <w:r>
        <w:t>Measure — Current test results from calibrated instruments.</w:t>
      </w:r>
    </w:p>
    <w:p>
      <w:pPr>
        <w:pStyle w:val="ListBullet"/>
        <w:spacing w:after="60"/>
      </w:pPr>
      <w:r>
        <w:t>Interview — Personnel can explain risk and response.</w:t>
      </w:r>
    </w:p>
    <w:p>
      <w:pPr>
        <w:pStyle w:val="ListBullet"/>
        <w:spacing w:after="60"/>
      </w:pPr>
      <w:r>
        <w:t>Records — Training, qualification, maintenance, failures and CAPA are traceable.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Risk-based audit sampling</w:t>
      </w:r>
    </w:p>
    <w:p>
      <w:pPr>
        <w:pStyle w:val="ListBullet"/>
        <w:spacing w:after="60"/>
      </w:pPr>
      <w:r>
        <w:t>Increase attention where products are most sensitive, exposure is high or process changes are recent.</w:t>
      </w:r>
    </w:p>
    <w:p>
      <w:pPr>
        <w:pStyle w:val="ListBullet"/>
        <w:spacing w:after="60"/>
      </w:pPr>
      <w:r>
        <w:t>Sample across shifts, people and workstations.</w:t>
      </w:r>
    </w:p>
    <w:p>
      <w:pPr>
        <w:pStyle w:val="ListBullet"/>
        <w:spacing w:after="60"/>
      </w:pPr>
      <w:r>
        <w:t>Do not let a checklist replace observation and measurement.</w:t>
      </w:r>
    </w:p>
    <w:p>
      <w:pPr>
        <w:pStyle w:val="ListBullet"/>
        <w:spacing w:after="60"/>
      </w:pPr>
      <w:r>
        <w:t>A single passing sample does not prove the entire system.</w:t>
      </w:r>
    </w:p>
    <w:p>
      <w:r>
        <w:rPr>
          <w:b/>
          <w:color w:val="1F6FEB"/>
        </w:rPr>
        <w:t xml:space="preserve">Decision takeaway: </w:t>
      </w:r>
      <w:r>
        <w:t>Sampling rationale belongs in the audit record.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Nonconformity grading</w:t>
      </w:r>
    </w:p>
    <w:p>
      <w:pPr>
        <w:pStyle w:val="ListBullet"/>
        <w:spacing w:after="60"/>
      </w:pPr>
      <w:r>
        <w:t>Critical — Immediate product/safety exposure; contain and escalate.</w:t>
      </w:r>
    </w:p>
    <w:p>
      <w:pPr>
        <w:pStyle w:val="ListBullet"/>
        <w:spacing w:after="60"/>
      </w:pPr>
      <w:r>
        <w:t>Major — Systemic or repeated breakdown; formal CAPA and verification.</w:t>
      </w:r>
    </w:p>
    <w:p>
      <w:pPr>
        <w:pStyle w:val="ListBullet"/>
        <w:spacing w:after="60"/>
      </w:pPr>
      <w:r>
        <w:t>Minor/observation — Local weakness or improvement opportunity; track proportionately.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Corrective-action loop</w:t>
      </w:r>
    </w:p>
    <w:p>
      <w:pPr>
        <w:pStyle w:val="ListBullet"/>
        <w:spacing w:after="60"/>
      </w:pPr>
      <w:r>
        <w:t>Contain affected product/process</w:t>
      </w:r>
    </w:p>
    <w:p>
      <w:pPr>
        <w:pStyle w:val="ListBullet"/>
        <w:spacing w:after="60"/>
      </w:pPr>
      <w:r>
        <w:t>Define problem with evidence</w:t>
      </w:r>
    </w:p>
    <w:p>
      <w:pPr>
        <w:pStyle w:val="ListBullet"/>
        <w:spacing w:after="60"/>
      </w:pPr>
      <w:r>
        <w:t>Analyse root and contributing causes</w:t>
      </w:r>
    </w:p>
    <w:p>
      <w:pPr>
        <w:pStyle w:val="ListBullet"/>
        <w:spacing w:after="60"/>
      </w:pPr>
      <w:r>
        <w:t>Implement corrective/preventive actions</w:t>
      </w:r>
    </w:p>
    <w:p>
      <w:pPr>
        <w:pStyle w:val="ListBullet"/>
        <w:spacing w:after="60"/>
      </w:pPr>
      <w:r>
        <w:t>Verify effectiveness</w:t>
      </w:r>
    </w:p>
    <w:p>
      <w:pPr>
        <w:pStyle w:val="ListBullet"/>
        <w:spacing w:after="60"/>
      </w:pPr>
      <w:r>
        <w:t>Standardise and close</w:t>
      </w:r>
    </w:p>
    <w:p>
      <w:r>
        <w:rPr>
          <w:b/>
          <w:color w:val="1F6FEB"/>
        </w:rPr>
        <w:t xml:space="preserve">Decision takeaway: </w:t>
      </w:r>
      <w:r>
        <w:t>Closure requires effectiveness evidence—not merely an action-completed date.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Useful ESD performance metrics</w:t>
      </w:r>
    </w:p>
    <w:p>
      <w:pPr>
        <w:pStyle w:val="ListBullet"/>
        <w:spacing w:after="60"/>
      </w:pPr>
      <w:r>
        <w:t>Leading — Test completion, first-pass pass rate, overdue calibration, training currency.</w:t>
      </w:r>
    </w:p>
    <w:p>
      <w:pPr>
        <w:pStyle w:val="ListBullet"/>
        <w:spacing w:after="60"/>
      </w:pPr>
      <w:r>
        <w:t>Process — EPA audit score, insulator findings, alarm response time.</w:t>
      </w:r>
    </w:p>
    <w:p>
      <w:pPr>
        <w:pStyle w:val="ListBullet"/>
        <w:spacing w:after="60"/>
      </w:pPr>
      <w:r>
        <w:t>Lagging — ESD-attributed escapes, scrap, rework and field returns.</w:t>
      </w:r>
    </w:p>
    <w:p>
      <w:pPr>
        <w:pStyle w:val="ListBullet"/>
        <w:spacing w:after="60"/>
      </w:pPr>
      <w:r>
        <w:t>Learning — Repeat causes, CAPA recurrence and time-to-effective closure.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Management review questions</w:t>
      </w:r>
    </w:p>
    <w:p>
      <w:pPr>
        <w:pStyle w:val="ListBullet"/>
        <w:spacing w:after="60"/>
      </w:pPr>
      <w:r>
        <w:t>Effective? — Are controls reducing exposure and failures?</w:t>
      </w:r>
    </w:p>
    <w:p>
      <w:pPr>
        <w:pStyle w:val="ListBullet"/>
        <w:spacing w:after="60"/>
      </w:pPr>
      <w:r>
        <w:t>Adequate? — Do changes in products/processes require new controls?</w:t>
      </w:r>
    </w:p>
    <w:p>
      <w:pPr>
        <w:pStyle w:val="ListBullet"/>
        <w:spacing w:after="60"/>
      </w:pPr>
      <w:r>
        <w:t>Sustained? — Are verification, training and CAPA completed on time?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1"/>
      </w:pPr>
      <w:r>
        <w:t>Activity 5: Execute a Compliance Verification Round</w:t>
      </w:r>
    </w:p>
    <w:p>
      <w:r>
        <w:t>Mapping: K2 · K3 · A2. Objective: Plan, execute and record traceable checks for personnel grounding, resistance, electrostatic field and ioniser performance.</w:t>
      </w:r>
    </w:p>
    <w:p>
      <w:pPr>
        <w:pStyle w:val="Heading2"/>
      </w:pPr>
      <w:r>
        <w:t>Scenario</w:t>
      </w:r>
    </w:p>
    <w:p>
      <w:r>
        <w:t>Meridian Electronics has four EPAs on two shifts. Recent records show perfect results but several tester failures were repaired without documented product disposition. You must execute a verification round using a simulated data pack.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Confirm the verification procedure, current limits and sampling plan from the controlled programme documents.</w:t>
      </w:r>
    </w:p>
    <w:p>
      <w:pPr>
        <w:spacing w:after="100"/>
      </w:pPr>
      <w:r>
        <w:rPr>
          <w:b/>
        </w:rPr>
        <w:t xml:space="preserve">2. </w:t>
      </w:r>
      <w:r>
        <w:t>Check each instrument identity, calibration status, battery/zero check and suitable accessories.</w:t>
      </w:r>
    </w:p>
    <w:p>
      <w:pPr>
        <w:spacing w:after="100"/>
      </w:pPr>
      <w:r>
        <w:rPr>
          <w:b/>
        </w:rPr>
        <w:t xml:space="preserve">3. </w:t>
      </w:r>
      <w:r>
        <w:t>Record temperature, relative humidity, area, shift and relevant process condition.</w:t>
      </w:r>
    </w:p>
    <w:p>
      <w:pPr>
        <w:spacing w:after="100"/>
      </w:pPr>
      <w:r>
        <w:rPr>
          <w:b/>
        </w:rPr>
        <w:t xml:space="preserve">4. </w:t>
      </w:r>
      <w:r>
        <w:t>Review daily wrist-strap and footwear test records for completeness, first-pass failures and response actions.</w:t>
      </w:r>
    </w:p>
    <w:p>
      <w:pPr>
        <w:spacing w:after="100"/>
      </w:pPr>
      <w:r>
        <w:rPr>
          <w:b/>
        </w:rPr>
        <w:t xml:space="preserve">5. </w:t>
      </w:r>
      <w:r>
        <w:t>Use the simulated readings to evaluate person/footwear/floor and wrist-strap results.</w:t>
      </w:r>
    </w:p>
    <w:p>
      <w:pPr>
        <w:spacing w:after="100"/>
      </w:pPr>
      <w:r>
        <w:rPr>
          <w:b/>
        </w:rPr>
        <w:t xml:space="preserve">6. </w:t>
      </w:r>
      <w:r>
        <w:t>Evaluate point-to-point and point-to-ground resistance readings with method and electrode details.</w:t>
      </w:r>
    </w:p>
    <w:p>
      <w:pPr>
        <w:spacing w:after="100"/>
      </w:pPr>
      <w:r>
        <w:rPr>
          <w:b/>
        </w:rPr>
        <w:t xml:space="preserve">7. </w:t>
      </w:r>
      <w:r>
        <w:t>Evaluate field readings at the stated work distance and identify uncontrolled essential insulators.</w:t>
      </w:r>
    </w:p>
    <w:p>
      <w:pPr>
        <w:spacing w:after="100"/>
      </w:pPr>
      <w:r>
        <w:rPr>
          <w:b/>
        </w:rPr>
        <w:t xml:space="preserve">8. </w:t>
      </w:r>
      <w:r>
        <w:t>Evaluate positive/negative decay and offset/balance readings at the work position.</w:t>
      </w:r>
    </w:p>
    <w:p>
      <w:pPr>
        <w:spacing w:after="100"/>
      </w:pPr>
      <w:r>
        <w:rPr>
          <w:b/>
        </w:rPr>
        <w:t xml:space="preserve">9. </w:t>
      </w:r>
      <w:r>
        <w:t>Classify each result as conforming, nonconforming or insufficient evidence.</w:t>
      </w:r>
    </w:p>
    <w:p>
      <w:pPr>
        <w:spacing w:after="100"/>
      </w:pPr>
      <w:r>
        <w:rPr>
          <w:b/>
        </w:rPr>
        <w:t xml:space="preserve">10. </w:t>
      </w:r>
      <w:r>
        <w:t>For every failure, define immediate containment, retest rules, product impact review and escalation.</w:t>
      </w:r>
    </w:p>
    <w:p>
      <w:pPr>
        <w:spacing w:after="100"/>
      </w:pPr>
      <w:r>
        <w:rPr>
          <w:b/>
        </w:rPr>
        <w:t xml:space="preserve">11. </w:t>
      </w:r>
      <w:r>
        <w:t>Calculate first-pass pass rate and overdue-check rate; explain what each metric can and cannot prove.</w:t>
      </w:r>
    </w:p>
    <w:p>
      <w:pPr>
        <w:spacing w:after="100"/>
      </w:pPr>
      <w:r>
        <w:rPr>
          <w:b/>
        </w:rPr>
        <w:t xml:space="preserve">12. </w:t>
      </w:r>
      <w:r>
        <w:t>Sign the evidence package and retain raw data, calculations and disposition decisions.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Why is a retest pass insufficient without investigating the first failure?</w:t>
      </w:r>
    </w:p>
    <w:p>
      <w:pPr>
        <w:pStyle w:val="ListBullet"/>
        <w:spacing w:after="60"/>
      </w:pPr>
      <w:r>
        <w:t>Which contextual data makes a resistance reading defensible?</w:t>
      </w:r>
    </w:p>
    <w:p>
      <w:pPr>
        <w:pStyle w:val="ListBullet"/>
        <w:spacing w:after="60"/>
      </w:pPr>
      <w:r>
        <w:t>Where should ioniser performance be checked?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Completed measurement log</w:t>
      </w:r>
    </w:p>
    <w:p>
      <w:pPr>
        <w:pStyle w:val="ListBullet"/>
        <w:spacing w:after="60"/>
      </w:pPr>
      <w:r>
        <w:t>Failure/disposition records</w:t>
      </w:r>
    </w:p>
    <w:p>
      <w:pPr>
        <w:pStyle w:val="ListBullet"/>
        <w:spacing w:after="60"/>
      </w:pPr>
      <w:r>
        <w:t>Metric calculation</w:t>
      </w:r>
    </w:p>
    <w:p>
      <w:pPr>
        <w:pStyle w:val="ListBullet"/>
        <w:spacing w:after="60"/>
      </w:pPr>
      <w:r>
        <w:t>Signed evidence package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Every result includes method, units and conditions</w:t>
      </w:r>
    </w:p>
    <w:p>
      <w:pPr>
        <w:pStyle w:val="ListBullet"/>
        <w:spacing w:after="60"/>
      </w:pPr>
      <w:r>
        <w:t>☐ Instrument status is verified</w:t>
      </w:r>
    </w:p>
    <w:p>
      <w:pPr>
        <w:pStyle w:val="ListBullet"/>
        <w:spacing w:after="60"/>
      </w:pPr>
      <w:r>
        <w:t>☐ First-pass failures remain visible</w:t>
      </w:r>
    </w:p>
    <w:p>
      <w:pPr>
        <w:pStyle w:val="ListBullet"/>
        <w:spacing w:after="60"/>
      </w:pPr>
      <w:r>
        <w:t>☐ Product impact and response are documented</w:t>
      </w:r>
    </w:p>
    <w:p>
      <w:pPr>
        <w:pStyle w:val="Heading1"/>
      </w:pPr>
      <w:r>
        <w:t>Activity 6: Standards-Based EPA Audit at Helix Assembly</w:t>
      </w:r>
    </w:p>
    <w:p>
      <w:r>
        <w:t>Mapping: K2 · A2 · A3. Objective: Conduct a risk-based audit using observation, measurement, interview and records, then issue graded findings and corrective-action requests.</w:t>
      </w:r>
    </w:p>
    <w:p>
      <w:pPr>
        <w:pStyle w:val="Heading2"/>
      </w:pPr>
      <w:r>
        <w:t>Scenario</w:t>
      </w:r>
    </w:p>
    <w:p>
      <w:r>
        <w:t>Helix Assembly claims alignment to ANSI/ESD S20.20 and IEC 61340-5-1. A new customer requests evidence that controls are implemented, verified and improved—not merely purchased.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Confirm audit scope, criteria, process boundaries, product sensitivity and previous findings.</w:t>
      </w:r>
    </w:p>
    <w:p>
      <w:pPr>
        <w:spacing w:after="100"/>
      </w:pPr>
      <w:r>
        <w:rPr>
          <w:b/>
        </w:rPr>
        <w:t xml:space="preserve">2. </w:t>
      </w:r>
      <w:r>
        <w:t>Build a sampling plan across shifts, workstations, products and recent changes.</w:t>
      </w:r>
    </w:p>
    <w:p>
      <w:pPr>
        <w:spacing w:after="100"/>
      </w:pPr>
      <w:r>
        <w:rPr>
          <w:b/>
        </w:rPr>
        <w:t xml:space="preserve">3. </w:t>
      </w:r>
      <w:r>
        <w:t>Review the ESD control programme, roles, qualification evidence and compliance-verification plan.</w:t>
      </w:r>
    </w:p>
    <w:p>
      <w:pPr>
        <w:spacing w:after="100"/>
      </w:pPr>
      <w:r>
        <w:rPr>
          <w:b/>
        </w:rPr>
        <w:t xml:space="preserve">4. </w:t>
      </w:r>
      <w:r>
        <w:t>Observe EPA entry, grounding, handling, packaging and response to simulated alarms.</w:t>
      </w:r>
    </w:p>
    <w:p>
      <w:pPr>
        <w:spacing w:after="100"/>
      </w:pPr>
      <w:r>
        <w:rPr>
          <w:b/>
        </w:rPr>
        <w:t xml:space="preserve">5. </w:t>
      </w:r>
      <w:r>
        <w:t>Interview an operator, technician and manager using role-specific competence questions.</w:t>
      </w:r>
    </w:p>
    <w:p>
      <w:pPr>
        <w:spacing w:after="100"/>
      </w:pPr>
      <w:r>
        <w:rPr>
          <w:b/>
        </w:rPr>
        <w:t xml:space="preserve">6. </w:t>
      </w:r>
      <w:r>
        <w:t>Review current measurement, calibration, maintenance, training and change-control records.</w:t>
      </w:r>
    </w:p>
    <w:p>
      <w:pPr>
        <w:spacing w:after="100"/>
      </w:pPr>
      <w:r>
        <w:rPr>
          <w:b/>
        </w:rPr>
        <w:t xml:space="preserve">7. </w:t>
      </w:r>
      <w:r>
        <w:t>Trace one ESDS lot from receipt through assembly, test, storage and dispatch.</w:t>
      </w:r>
    </w:p>
    <w:p>
      <w:pPr>
        <w:spacing w:after="100"/>
      </w:pPr>
      <w:r>
        <w:rPr>
          <w:b/>
        </w:rPr>
        <w:t xml:space="preserve">8. </w:t>
      </w:r>
      <w:r>
        <w:t>Triangulate each potential finding with at least two evidence types where practical.</w:t>
      </w:r>
    </w:p>
    <w:p>
      <w:pPr>
        <w:spacing w:after="100"/>
      </w:pPr>
      <w:r>
        <w:rPr>
          <w:b/>
        </w:rPr>
        <w:t xml:space="preserve">9. </w:t>
      </w:r>
      <w:r>
        <w:t>Grade findings by exposure and system impact; define immediate containment where required.</w:t>
      </w:r>
    </w:p>
    <w:p>
      <w:pPr>
        <w:spacing w:after="100"/>
      </w:pPr>
      <w:r>
        <w:rPr>
          <w:b/>
        </w:rPr>
        <w:t xml:space="preserve">10. </w:t>
      </w:r>
      <w:r>
        <w:t>Write each finding with requirement/criterion, objective evidence, gap and risk.</w:t>
      </w:r>
    </w:p>
    <w:p>
      <w:pPr>
        <w:spacing w:after="100"/>
      </w:pPr>
      <w:r>
        <w:rPr>
          <w:b/>
        </w:rPr>
        <w:t xml:space="preserve">11. </w:t>
      </w:r>
      <w:r>
        <w:t>Agree owners and target dates without allowing the auditee to close findings during the meeting.</w:t>
      </w:r>
    </w:p>
    <w:p>
      <w:pPr>
        <w:spacing w:after="100"/>
      </w:pPr>
      <w:r>
        <w:rPr>
          <w:b/>
        </w:rPr>
        <w:t xml:space="preserve">12. </w:t>
      </w:r>
      <w:r>
        <w:t>Define follow-up evidence and effectiveness checks, then issue the audit report.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What evidence shows a control is sustained rather than merely installed?</w:t>
      </w:r>
    </w:p>
    <w:p>
      <w:pPr>
        <w:pStyle w:val="ListBullet"/>
        <w:spacing w:after="60"/>
      </w:pPr>
      <w:r>
        <w:t>Why must the exact controlled standard govern numerical limits?</w:t>
      </w:r>
    </w:p>
    <w:p>
      <w:pPr>
        <w:pStyle w:val="ListBullet"/>
        <w:spacing w:after="60"/>
      </w:pPr>
      <w:r>
        <w:t>What makes a finding actionable?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Audit plan</w:t>
      </w:r>
    </w:p>
    <w:p>
      <w:pPr>
        <w:pStyle w:val="ListBullet"/>
        <w:spacing w:after="60"/>
      </w:pPr>
      <w:r>
        <w:t>Completed checklist</w:t>
      </w:r>
    </w:p>
    <w:p>
      <w:pPr>
        <w:pStyle w:val="ListBullet"/>
        <w:spacing w:after="60"/>
      </w:pPr>
      <w:r>
        <w:t>Evidence register</w:t>
      </w:r>
    </w:p>
    <w:p>
      <w:pPr>
        <w:pStyle w:val="ListBullet"/>
        <w:spacing w:after="60"/>
      </w:pPr>
      <w:r>
        <w:t>Graded findings and follow-up plan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Sampling is risk-based</w:t>
      </w:r>
    </w:p>
    <w:p>
      <w:pPr>
        <w:pStyle w:val="ListBullet"/>
        <w:spacing w:after="60"/>
      </w:pPr>
      <w:r>
        <w:t>☐ Findings cite objective evidence</w:t>
      </w:r>
    </w:p>
    <w:p>
      <w:pPr>
        <w:pStyle w:val="ListBullet"/>
        <w:spacing w:after="60"/>
      </w:pPr>
      <w:r>
        <w:t>☐ Critical exposure triggers containment</w:t>
      </w:r>
    </w:p>
    <w:p>
      <w:pPr>
        <w:pStyle w:val="ListBullet"/>
        <w:spacing w:after="60"/>
      </w:pPr>
      <w:r>
        <w:t>☐ Follow-up tests effectiveness, not only completion</w:t>
      </w:r>
    </w:p>
    <w:p>
      <w:pPr>
        <w:pStyle w:val="Heading1"/>
      </w:pPr>
      <w:r>
        <w:t>Module 4: Training, Awareness and Incident Improvement</w:t>
      </w:r>
    </w:p>
    <w:p>
      <w:r>
        <w:t>Mapping: K4 · A2 · A3. Competence · behaviour · reporting · root-cause analysis · CAPA · management ownership</w:t>
      </w:r>
    </w:p>
    <w:p>
      <w:pPr>
        <w:pStyle w:val="Heading2"/>
      </w:pPr>
      <w:r>
        <w:t>Competence is role-specific</w:t>
      </w:r>
    </w:p>
    <w:p>
      <w:pPr>
        <w:pStyle w:val="ListBullet"/>
        <w:spacing w:after="60"/>
      </w:pPr>
      <w:r>
        <w:t>Operators — Recognise ESDS items, enter EPA correctly and handle/pack safely.</w:t>
      </w:r>
    </w:p>
    <w:p>
      <w:pPr>
        <w:pStyle w:val="ListBullet"/>
        <w:spacing w:after="60"/>
      </w:pPr>
      <w:r>
        <w:t>Technicians — Set up, test, troubleshoot and maintain controls.</w:t>
      </w:r>
    </w:p>
    <w:p>
      <w:pPr>
        <w:pStyle w:val="ListBullet"/>
        <w:spacing w:after="60"/>
      </w:pPr>
      <w:r>
        <w:t>Engineers — Define limits, qualify controls and investigate events.</w:t>
      </w:r>
    </w:p>
    <w:p>
      <w:pPr>
        <w:pStyle w:val="ListBullet"/>
        <w:spacing w:after="60"/>
      </w:pPr>
      <w:r>
        <w:t>Managers — Provide resources, review metrics and remove systemic barriers.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From awareness to reliable behaviour</w:t>
      </w:r>
    </w:p>
    <w:p>
      <w:pPr>
        <w:pStyle w:val="ListBullet"/>
        <w:spacing w:after="60"/>
      </w:pPr>
      <w:r>
        <w:t>Explain the invisible risk</w:t>
      </w:r>
    </w:p>
    <w:p>
      <w:pPr>
        <w:pStyle w:val="ListBullet"/>
        <w:spacing w:after="60"/>
      </w:pPr>
      <w:r>
        <w:t>Demonstrate the correct method</w:t>
      </w:r>
    </w:p>
    <w:p>
      <w:pPr>
        <w:pStyle w:val="ListBullet"/>
        <w:spacing w:after="60"/>
      </w:pPr>
      <w:r>
        <w:t>Practise with feedback</w:t>
      </w:r>
    </w:p>
    <w:p>
      <w:pPr>
        <w:pStyle w:val="ListBullet"/>
        <w:spacing w:after="60"/>
      </w:pPr>
      <w:r>
        <w:t>Observe on the job</w:t>
      </w:r>
    </w:p>
    <w:p>
      <w:pPr>
        <w:pStyle w:val="ListBullet"/>
        <w:spacing w:after="60"/>
      </w:pPr>
      <w:r>
        <w:t>Reinforce and requalify</w:t>
      </w:r>
    </w:p>
    <w:p>
      <w:r>
        <w:rPr>
          <w:b/>
          <w:color w:val="1F6FEB"/>
        </w:rPr>
        <w:t xml:space="preserve">Decision takeaway: </w:t>
      </w:r>
      <w:r>
        <w:t>A signature on attendance is not evidence of competence.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ESD champions and supervision</w:t>
      </w:r>
    </w:p>
    <w:p>
      <w:pPr>
        <w:pStyle w:val="ListBullet"/>
        <w:spacing w:after="60"/>
      </w:pPr>
      <w:r>
        <w:t>Coach — Give immediate, specific feedback at the workstation.</w:t>
      </w:r>
    </w:p>
    <w:p>
      <w:pPr>
        <w:pStyle w:val="ListBullet"/>
        <w:spacing w:after="60"/>
      </w:pPr>
      <w:r>
        <w:t>Escalate — Stop unsafe handling and trigger containment when required.</w:t>
      </w:r>
    </w:p>
    <w:p>
      <w:pPr>
        <w:pStyle w:val="ListBullet"/>
        <w:spacing w:after="60"/>
      </w:pPr>
      <w:r>
        <w:t>Learn — Share incident lessons without normalising blame.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Recognising a possible ESD incident</w:t>
      </w:r>
    </w:p>
    <w:p>
      <w:pPr>
        <w:pStyle w:val="ListBullet"/>
        <w:spacing w:after="60"/>
      </w:pPr>
      <w:r>
        <w:t>Product symptom — Sudden failure, parametric shift, intermittent behaviour or unexplained fallout.</w:t>
      </w:r>
    </w:p>
    <w:p>
      <w:pPr>
        <w:pStyle w:val="ListBullet"/>
        <w:spacing w:after="60"/>
      </w:pPr>
      <w:r>
        <w:t>Control signal — Monitor alarm, failed tester, ioniser drift or broken ground path.</w:t>
      </w:r>
    </w:p>
    <w:p>
      <w:pPr>
        <w:pStyle w:val="ListBullet"/>
        <w:spacing w:after="60"/>
      </w:pPr>
      <w:r>
        <w:t>Exposure clue — Unprotected handling, ordinary plastic, low humidity or process change.</w:t>
      </w:r>
    </w:p>
    <w:p>
      <w:pPr>
        <w:pStyle w:val="ListBullet"/>
        <w:spacing w:after="60"/>
      </w:pPr>
      <w:r>
        <w:t>Caution — Symptoms are not proof; preserve evidence for diagnosis.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Immediate response</w:t>
      </w:r>
    </w:p>
    <w:p>
      <w:pPr>
        <w:pStyle w:val="ListBullet"/>
        <w:spacing w:after="60"/>
      </w:pPr>
      <w:r>
        <w:t>Stop and protect the process</w:t>
      </w:r>
    </w:p>
    <w:p>
      <w:pPr>
        <w:pStyle w:val="ListBullet"/>
        <w:spacing w:after="60"/>
      </w:pPr>
      <w:r>
        <w:t>Segregate potentially affected product</w:t>
      </w:r>
    </w:p>
    <w:p>
      <w:pPr>
        <w:pStyle w:val="ListBullet"/>
        <w:spacing w:after="60"/>
      </w:pPr>
      <w:r>
        <w:t>Preserve settings, logs and samples</w:t>
      </w:r>
    </w:p>
    <w:p>
      <w:pPr>
        <w:pStyle w:val="ListBullet"/>
        <w:spacing w:after="60"/>
      </w:pPr>
      <w:r>
        <w:t>Notify defined roles</w:t>
      </w:r>
    </w:p>
    <w:p>
      <w:pPr>
        <w:pStyle w:val="ListBullet"/>
        <w:spacing w:after="60"/>
      </w:pPr>
      <w:r>
        <w:t>Begin evidence-based triage</w:t>
      </w:r>
    </w:p>
    <w:p>
      <w:r>
        <w:rPr>
          <w:b/>
          <w:color w:val="1F6FEB"/>
        </w:rPr>
        <w:t xml:space="preserve">Decision takeaway: </w:t>
      </w:r>
      <w:r>
        <w:t>Do not reset equipment or discard suspect parts before evidence capture.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Incident evidence set</w:t>
      </w:r>
    </w:p>
    <w:p>
      <w:pPr>
        <w:pStyle w:val="ListBullet"/>
        <w:spacing w:after="60"/>
      </w:pPr>
      <w:r>
        <w:t>What/where/when — Product, lot, station, timestamp and sequence.</w:t>
      </w:r>
    </w:p>
    <w:p>
      <w:pPr>
        <w:pStyle w:val="ListBullet"/>
        <w:spacing w:after="60"/>
      </w:pPr>
      <w:r>
        <w:t>Environment — Humidity, temperature, nearby motion and insulators.</w:t>
      </w:r>
    </w:p>
    <w:p>
      <w:pPr>
        <w:pStyle w:val="ListBullet"/>
        <w:spacing w:after="60"/>
      </w:pPr>
      <w:r>
        <w:t>Controls — Tester logs, monitor alarms, grounding and ioniser status.</w:t>
      </w:r>
    </w:p>
    <w:p>
      <w:pPr>
        <w:pStyle w:val="ListBullet"/>
        <w:spacing w:after="60"/>
      </w:pPr>
      <w:r>
        <w:t>People/process — Who handled it, procedure used and recent changes.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Root-cause analysis without blame</w:t>
      </w:r>
    </w:p>
    <w:p>
      <w:pPr>
        <w:pStyle w:val="ListBullet"/>
        <w:spacing w:after="60"/>
      </w:pPr>
      <w:r>
        <w:t>Ask why the system allowed exposure: design, maintenance, method, material, measurement or management.</w:t>
      </w:r>
    </w:p>
    <w:p>
      <w:pPr>
        <w:pStyle w:val="ListBullet"/>
        <w:spacing w:after="60"/>
      </w:pPr>
      <w:r>
        <w:t>Distinguish root, contributing and detection causes.</w:t>
      </w:r>
    </w:p>
    <w:p>
      <w:pPr>
        <w:pStyle w:val="ListBullet"/>
        <w:spacing w:after="60"/>
      </w:pPr>
      <w:r>
        <w:t>Avoid stopping at 'operator error'.</w:t>
      </w:r>
    </w:p>
    <w:p>
      <w:pPr>
        <w:pStyle w:val="ListBullet"/>
        <w:spacing w:after="60"/>
      </w:pPr>
      <w:r>
        <w:t>A repeated behaviour usually reflects unclear standards, weak design, workload or ineffective supervision.</w:t>
      </w:r>
    </w:p>
    <w:p>
      <w:r>
        <w:rPr>
          <w:b/>
          <w:color w:val="1F6FEB"/>
        </w:rPr>
        <w:t xml:space="preserve">Decision takeaway: </w:t>
      </w:r>
      <w:r>
        <w:t>Correct the system that shaped the behaviour.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Selecting corrective actions</w:t>
      </w:r>
    </w:p>
    <w:p>
      <w:pPr>
        <w:pStyle w:val="ListBullet"/>
        <w:spacing w:after="60"/>
      </w:pPr>
      <w:r>
        <w:t>Remove generator/exposure</w:t>
      </w:r>
    </w:p>
    <w:p>
      <w:pPr>
        <w:pStyle w:val="ListBullet"/>
        <w:spacing w:after="60"/>
      </w:pPr>
      <w:r>
        <w:t>Engineer a reliable ground or enclosure</w:t>
      </w:r>
    </w:p>
    <w:p>
      <w:pPr>
        <w:pStyle w:val="ListBullet"/>
        <w:spacing w:after="60"/>
      </w:pPr>
      <w:r>
        <w:t>Add detection/monitoring</w:t>
      </w:r>
    </w:p>
    <w:p>
      <w:pPr>
        <w:pStyle w:val="ListBullet"/>
        <w:spacing w:after="60"/>
      </w:pPr>
      <w:r>
        <w:t>Standardise work and response</w:t>
      </w:r>
    </w:p>
    <w:p>
      <w:pPr>
        <w:pStyle w:val="ListBullet"/>
        <w:spacing w:after="60"/>
      </w:pPr>
      <w:r>
        <w:t>Train and verify competence</w:t>
      </w:r>
    </w:p>
    <w:p>
      <w:pPr>
        <w:pStyle w:val="ListBullet"/>
        <w:spacing w:after="60"/>
      </w:pPr>
      <w:r>
        <w:t>Measure sustained effectiveness</w:t>
      </w:r>
    </w:p>
    <w:p>
      <w:r>
        <w:rPr>
          <w:b/>
          <w:color w:val="1F6FEB"/>
        </w:rPr>
        <w:t xml:space="preserve">Decision takeaway: </w:t>
      </w:r>
      <w:r>
        <w:t>Prefer controls that do not rely solely on memory.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Communicating ESD risk</w:t>
      </w:r>
    </w:p>
    <w:p>
      <w:pPr>
        <w:pStyle w:val="ListBullet"/>
        <w:spacing w:after="60"/>
      </w:pPr>
      <w:r>
        <w:t>Frontline — Show the exact handling risk and the stop-work response.</w:t>
      </w:r>
    </w:p>
    <w:p>
      <w:pPr>
        <w:pStyle w:val="ListBullet"/>
        <w:spacing w:after="60"/>
      </w:pPr>
      <w:r>
        <w:t>Engineering — Use measurements, failure evidence and process capability.</w:t>
      </w:r>
    </w:p>
    <w:p>
      <w:pPr>
        <w:pStyle w:val="ListBullet"/>
        <w:spacing w:after="60"/>
      </w:pPr>
      <w:r>
        <w:t>Management — Translate risk into yield, customer, compliance and continuity impact.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A sustainable ESD culture</w:t>
      </w:r>
    </w:p>
    <w:p>
      <w:pPr>
        <w:pStyle w:val="ListBullet"/>
        <w:spacing w:after="60"/>
      </w:pPr>
      <w:r>
        <w:t>Visible ownership — Named programme coordinator and local owners.</w:t>
      </w:r>
    </w:p>
    <w:p>
      <w:pPr>
        <w:pStyle w:val="ListBullet"/>
        <w:spacing w:after="60"/>
      </w:pPr>
      <w:r>
        <w:t>Just reporting — Near misses and failures can be reported without concealment.</w:t>
      </w:r>
    </w:p>
    <w:p>
      <w:pPr>
        <w:pStyle w:val="ListBullet"/>
        <w:spacing w:after="60"/>
      </w:pPr>
      <w:r>
        <w:t>Closed loop — Findings become actions, verified changes and updated standards.</w:t>
      </w:r>
    </w:p>
    <w:p>
      <w:pPr>
        <w:pStyle w:val="ListBullet"/>
        <w:spacing w:after="60"/>
      </w:pPr>
      <w:r>
        <w:t>Learning cadence — Metrics, incidents and changes are reviewed regularly.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2"/>
      </w:pPr>
      <w:r>
        <w:t>Competency certification</w:t>
      </w:r>
    </w:p>
    <w:p>
      <w:pPr>
        <w:pStyle w:val="ListBullet"/>
        <w:spacing w:after="60"/>
      </w:pPr>
      <w:r>
        <w:t>Internal authorisation should match the tasks a person performs.</w:t>
      </w:r>
    </w:p>
    <w:p>
      <w:pPr>
        <w:pStyle w:val="ListBullet"/>
        <w:spacing w:after="60"/>
      </w:pPr>
      <w:r>
        <w:t>Use knowledge, demonstration and observed-work evidence.</w:t>
      </w:r>
    </w:p>
    <w:p>
      <w:pPr>
        <w:pStyle w:val="ListBullet"/>
        <w:spacing w:after="60"/>
      </w:pPr>
      <w:r>
        <w:t>External credentials may support development but do not replace site-specific qualification.</w:t>
      </w:r>
    </w:p>
    <w:p>
      <w:pPr>
        <w:pStyle w:val="ListBullet"/>
        <w:spacing w:after="60"/>
      </w:pPr>
      <w:r>
        <w:t>Reassess after major changes, lapse or repeated nonconformance.</w:t>
      </w:r>
    </w:p>
    <w:p>
      <w:r>
        <w:rPr>
          <w:b/>
          <w:color w:val="1F6FEB"/>
        </w:rPr>
        <w:t xml:space="preserve">Decision takeaway: </w:t>
      </w:r>
      <w:r>
        <w:t>Competence must remain current at the point of work.</w:t>
      </w:r>
    </w:p>
    <w:p>
      <w:r>
        <w:rPr>
          <w:b/>
        </w:rPr>
        <w:t xml:space="preserve">Source alignment: </w:t>
      </w:r>
      <w:r>
        <w:t>ESDA Fundamentals Part 1</w:t>
      </w:r>
    </w:p>
    <w:p>
      <w:pPr>
        <w:pStyle w:val="Heading1"/>
      </w:pPr>
      <w:r>
        <w:t>Activity 7: Investigate the PulseMed ESD Incident</w:t>
      </w:r>
    </w:p>
    <w:p>
      <w:r>
        <w:t>Mapping: K4 · A2 · A3. Objective: Contain risk, preserve evidence, identify system causes and produce a verified CAPA plan.</w:t>
      </w:r>
    </w:p>
    <w:p>
      <w:pPr>
        <w:pStyle w:val="Heading2"/>
      </w:pPr>
      <w:r>
        <w:t>Scenario</w:t>
      </w:r>
    </w:p>
    <w:p>
      <w:r>
        <w:t>PulseMed sees intermittent failures in a safety-relevant control board after a temporary operator used ordinary bubble wrap near final test. A monitor alarm was acknowledged but production continued for 47 minutes.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Initiate stop-work and quarantine product handled during the exposure window.</w:t>
      </w:r>
    </w:p>
    <w:p>
      <w:pPr>
        <w:spacing w:after="100"/>
      </w:pPr>
      <w:r>
        <w:rPr>
          <w:b/>
        </w:rPr>
        <w:t xml:space="preserve">2. </w:t>
      </w:r>
      <w:r>
        <w:t>Preserve monitor logs, tester results, packaging samples, workstation state and operator accounts.</w:t>
      </w:r>
    </w:p>
    <w:p>
      <w:pPr>
        <w:spacing w:after="100"/>
      </w:pPr>
      <w:r>
        <w:rPr>
          <w:b/>
        </w:rPr>
        <w:t xml:space="preserve">3. </w:t>
      </w:r>
      <w:r>
        <w:t>Create a verified timeline from the first process change to containment.</w:t>
      </w:r>
    </w:p>
    <w:p>
      <w:pPr>
        <w:spacing w:after="100"/>
      </w:pPr>
      <w:r>
        <w:rPr>
          <w:b/>
        </w:rPr>
        <w:t xml:space="preserve">4. </w:t>
      </w:r>
      <w:r>
        <w:t>Define the problem using product, place, time, extent and observed symptoms without assuming causation.</w:t>
      </w:r>
    </w:p>
    <w:p>
      <w:pPr>
        <w:spacing w:after="100"/>
      </w:pPr>
      <w:r>
        <w:rPr>
          <w:b/>
        </w:rPr>
        <w:t xml:space="preserve">5. </w:t>
      </w:r>
      <w:r>
        <w:t>Map direct, induction and CDM exposure pathways created by the bubble wrap and handling sequence.</w:t>
      </w:r>
    </w:p>
    <w:p>
      <w:pPr>
        <w:spacing w:after="100"/>
      </w:pPr>
      <w:r>
        <w:rPr>
          <w:b/>
        </w:rPr>
        <w:t xml:space="preserve">6. </w:t>
      </w:r>
      <w:r>
        <w:t>Use a fishbone and five-whys analysis across method, material, machine, measurement, people and management.</w:t>
      </w:r>
    </w:p>
    <w:p>
      <w:pPr>
        <w:spacing w:after="100"/>
      </w:pPr>
      <w:r>
        <w:rPr>
          <w:b/>
        </w:rPr>
        <w:t xml:space="preserve">7. </w:t>
      </w:r>
      <w:r>
        <w:t>Identify root, contributing and detection causes; avoid ending at 'operator error'.</w:t>
      </w:r>
    </w:p>
    <w:p>
      <w:pPr>
        <w:spacing w:after="100"/>
      </w:pPr>
      <w:r>
        <w:rPr>
          <w:b/>
        </w:rPr>
        <w:t xml:space="preserve">8. </w:t>
      </w:r>
      <w:r>
        <w:t>Select immediate correction, systemic corrective action and preventive action for similar areas.</w:t>
      </w:r>
    </w:p>
    <w:p>
      <w:pPr>
        <w:spacing w:after="100"/>
      </w:pPr>
      <w:r>
        <w:rPr>
          <w:b/>
        </w:rPr>
        <w:t xml:space="preserve">9. </w:t>
      </w:r>
      <w:r>
        <w:t>Define affected-product disposition and the technical evidence required for release or scrap.</w:t>
      </w:r>
    </w:p>
    <w:p>
      <w:pPr>
        <w:spacing w:after="100"/>
      </w:pPr>
      <w:r>
        <w:rPr>
          <w:b/>
        </w:rPr>
        <w:t xml:space="preserve">10. </w:t>
      </w:r>
      <w:r>
        <w:t>Assign CAPA owners, dates, resources and leading indicators.</w:t>
      </w:r>
    </w:p>
    <w:p>
      <w:pPr>
        <w:spacing w:after="100"/>
      </w:pPr>
      <w:r>
        <w:rPr>
          <w:b/>
        </w:rPr>
        <w:t xml:space="preserve">11. </w:t>
      </w:r>
      <w:r>
        <w:t>Define an effectiveness review after implementation, including observation, field measurement and recurrence checks.</w:t>
      </w:r>
    </w:p>
    <w:p>
      <w:pPr>
        <w:spacing w:after="100"/>
      </w:pPr>
      <w:r>
        <w:rPr>
          <w:b/>
        </w:rPr>
        <w:t xml:space="preserve">12. </w:t>
      </w:r>
      <w:r>
        <w:t>Prepare a factual incident report and a psychologically safe learning briefing.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Which system weakness allowed the alarm to be ignored?</w:t>
      </w:r>
    </w:p>
    <w:p>
      <w:pPr>
        <w:pStyle w:val="ListBullet"/>
        <w:spacing w:after="60"/>
      </w:pPr>
      <w:r>
        <w:t>What evidence must be preserved before resetting the workstation?</w:t>
      </w:r>
    </w:p>
    <w:p>
      <w:pPr>
        <w:pStyle w:val="ListBullet"/>
        <w:spacing w:after="60"/>
      </w:pPr>
      <w:r>
        <w:t>How will you prove the CAPA was effective?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Containment record</w:t>
      </w:r>
    </w:p>
    <w:p>
      <w:pPr>
        <w:pStyle w:val="ListBullet"/>
        <w:spacing w:after="60"/>
      </w:pPr>
      <w:r>
        <w:t>Timeline and causal analysis</w:t>
      </w:r>
    </w:p>
    <w:p>
      <w:pPr>
        <w:pStyle w:val="ListBullet"/>
        <w:spacing w:after="60"/>
      </w:pPr>
      <w:r>
        <w:t>CAPA plan</w:t>
      </w:r>
    </w:p>
    <w:p>
      <w:pPr>
        <w:pStyle w:val="ListBullet"/>
        <w:spacing w:after="60"/>
      </w:pPr>
      <w:r>
        <w:t>Effectiveness-verification plan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Exposure window and product scope are defined</w:t>
      </w:r>
    </w:p>
    <w:p>
      <w:pPr>
        <w:pStyle w:val="ListBullet"/>
        <w:spacing w:after="60"/>
      </w:pPr>
      <w:r>
        <w:t>☐ Causes extend beyond individual blame</w:t>
      </w:r>
    </w:p>
    <w:p>
      <w:pPr>
        <w:pStyle w:val="ListBullet"/>
        <w:spacing w:after="60"/>
      </w:pPr>
      <w:r>
        <w:t>☐ Actions address root and detection causes</w:t>
      </w:r>
    </w:p>
    <w:p>
      <w:pPr>
        <w:pStyle w:val="ListBullet"/>
        <w:spacing w:after="60"/>
      </w:pPr>
      <w:r>
        <w:t>☐ Effectiveness has measurable evidence</w:t>
      </w:r>
    </w:p>
    <w:p>
      <w:pPr>
        <w:pStyle w:val="Heading1"/>
      </w:pPr>
      <w:r>
        <w:t>Activity 8: Management Capstone: Build the Apex ESD Control Plan</w:t>
      </w:r>
    </w:p>
    <w:p>
      <w:r>
        <w:t>Mapping: K1–K4 · A1–A3. Objective: Integrate the complete course into a management-ready ESD control plan and defend it under assessment-style questioning.</w:t>
      </w:r>
    </w:p>
    <w:p>
      <w:pPr>
        <w:pStyle w:val="Heading2"/>
      </w:pPr>
      <w:r>
        <w:t>Scenario</w:t>
      </w:r>
    </w:p>
    <w:p>
      <w:r>
        <w:t>Apex Microsystems is opening a mixed lab/factory line for sensitive industrial controllers. Management needs an auditable ESD control plan before customer qualification, covering controls, verification, competence, incidents and improvement.</w:t>
      </w:r>
    </w:p>
    <w:p>
      <w:pPr>
        <w:pStyle w:val="Heading2"/>
      </w:pPr>
      <w:r>
        <w:t>Detailed step-by-step procedure</w:t>
      </w:r>
    </w:p>
    <w:p>
      <w:pPr>
        <w:spacing w:after="100"/>
      </w:pPr>
      <w:r>
        <w:rPr>
          <w:b/>
        </w:rPr>
        <w:t xml:space="preserve">1. </w:t>
      </w:r>
      <w:r>
        <w:t>Define scope, ESDS products, process boundaries, applicable customer/standard criteria and programme objectives.</w:t>
      </w:r>
    </w:p>
    <w:p>
      <w:pPr>
        <w:spacing w:after="100"/>
      </w:pPr>
      <w:r>
        <w:rPr>
          <w:b/>
        </w:rPr>
        <w:t xml:space="preserve">2. </w:t>
      </w:r>
      <w:r>
        <w:t>Assign programme coordinator, technical owners, area owners, operators and management-review responsibilities.</w:t>
      </w:r>
    </w:p>
    <w:p>
      <w:pPr>
        <w:spacing w:after="100"/>
      </w:pPr>
      <w:r>
        <w:rPr>
          <w:b/>
        </w:rPr>
        <w:t xml:space="preserve">3. </w:t>
      </w:r>
      <w:r>
        <w:t>Create the process risk map and select controls using elimination, grounding/bonding, ionisation, shielding and administrative layers.</w:t>
      </w:r>
    </w:p>
    <w:p>
      <w:pPr>
        <w:spacing w:after="100"/>
      </w:pPr>
      <w:r>
        <w:rPr>
          <w:b/>
        </w:rPr>
        <w:t xml:space="preserve">4. </w:t>
      </w:r>
      <w:r>
        <w:t>Define EPA requirements for people, workstation, equipment, materials, packaging, logistics and field service.</w:t>
      </w:r>
    </w:p>
    <w:p>
      <w:pPr>
        <w:spacing w:after="100"/>
      </w:pPr>
      <w:r>
        <w:rPr>
          <w:b/>
        </w:rPr>
        <w:t xml:space="preserve">5. </w:t>
      </w:r>
      <w:r>
        <w:t>Build the qualification register for each control item and required evidence.</w:t>
      </w:r>
    </w:p>
    <w:p>
      <w:pPr>
        <w:spacing w:after="100"/>
      </w:pPr>
      <w:r>
        <w:rPr>
          <w:b/>
        </w:rPr>
        <w:t xml:space="preserve">6. </w:t>
      </w:r>
      <w:r>
        <w:t>Build the compliance-verification matrix with item, method, limit/source, frequency, owner, record and response.</w:t>
      </w:r>
    </w:p>
    <w:p>
      <w:pPr>
        <w:spacing w:after="100"/>
      </w:pPr>
      <w:r>
        <w:rPr>
          <w:b/>
        </w:rPr>
        <w:t xml:space="preserve">7. </w:t>
      </w:r>
      <w:r>
        <w:t>Create the role-based training and competency matrix with initial, observed and refresher evidence.</w:t>
      </w:r>
    </w:p>
    <w:p>
      <w:pPr>
        <w:spacing w:after="100"/>
      </w:pPr>
      <w:r>
        <w:rPr>
          <w:b/>
        </w:rPr>
        <w:t xml:space="preserve">8. </w:t>
      </w:r>
      <w:r>
        <w:t>Define incident reporting, containment, investigation, CAPA and effectiveness verification.</w:t>
      </w:r>
    </w:p>
    <w:p>
      <w:pPr>
        <w:spacing w:after="100"/>
      </w:pPr>
      <w:r>
        <w:rPr>
          <w:b/>
        </w:rPr>
        <w:t xml:space="preserve">9. </w:t>
      </w:r>
      <w:r>
        <w:t>Select leading, process, lagging and learning metrics with targets and review frequency.</w:t>
      </w:r>
    </w:p>
    <w:p>
      <w:pPr>
        <w:spacing w:after="100"/>
      </w:pPr>
      <w:r>
        <w:rPr>
          <w:b/>
        </w:rPr>
        <w:t xml:space="preserve">10. </w:t>
      </w:r>
      <w:r>
        <w:t>Run a tabletop scenario for a failed personnel tester and an ioniser drift; trace every decision and record.</w:t>
      </w:r>
    </w:p>
    <w:p>
      <w:pPr>
        <w:spacing w:after="100"/>
      </w:pPr>
      <w:r>
        <w:rPr>
          <w:b/>
        </w:rPr>
        <w:t xml:space="preserve">11. </w:t>
      </w:r>
      <w:r>
        <w:t>Conduct a customer-assessor challenge using the two Case Study task prompts.</w:t>
      </w:r>
    </w:p>
    <w:p>
      <w:pPr>
        <w:spacing w:after="100"/>
      </w:pPr>
      <w:r>
        <w:rPr>
          <w:b/>
        </w:rPr>
        <w:t xml:space="preserve">12. </w:t>
      </w:r>
      <w:r>
        <w:t>Revise, approve and issue the plan with a 90-day implementation roadmap.</w:t>
      </w:r>
    </w:p>
    <w:p>
      <w:pPr>
        <w:pStyle w:val="Heading2"/>
      </w:pPr>
      <w:r>
        <w:t>Scenario questions</w:t>
      </w:r>
    </w:p>
    <w:p>
      <w:pPr>
        <w:pStyle w:val="ListBullet"/>
        <w:spacing w:after="60"/>
      </w:pPr>
      <w:r>
        <w:t>How does the plan demonstrate A1, A2 and A3?</w:t>
      </w:r>
    </w:p>
    <w:p>
      <w:pPr>
        <w:pStyle w:val="ListBullet"/>
        <w:spacing w:after="60"/>
      </w:pPr>
      <w:r>
        <w:t>Which records prove the control programme remains effective?</w:t>
      </w:r>
    </w:p>
    <w:p>
      <w:pPr>
        <w:pStyle w:val="ListBullet"/>
        <w:spacing w:after="60"/>
      </w:pPr>
      <w:r>
        <w:t>What management decision is triggered by deteriorating leading indicators?</w:t>
      </w:r>
    </w:p>
    <w:p>
      <w:pPr>
        <w:pStyle w:val="Heading2"/>
      </w:pPr>
      <w:r>
        <w:t>Evidence to submit</w:t>
      </w:r>
    </w:p>
    <w:p>
      <w:pPr>
        <w:pStyle w:val="ListBullet"/>
        <w:spacing w:after="60"/>
      </w:pPr>
      <w:r>
        <w:t>ESD control plan</w:t>
      </w:r>
    </w:p>
    <w:p>
      <w:pPr>
        <w:pStyle w:val="ListBullet"/>
        <w:spacing w:after="60"/>
      </w:pPr>
      <w:r>
        <w:t>Qualification and verification matrices</w:t>
      </w:r>
    </w:p>
    <w:p>
      <w:pPr>
        <w:pStyle w:val="ListBullet"/>
        <w:spacing w:after="60"/>
      </w:pPr>
      <w:r>
        <w:t>Competency matrix</w:t>
      </w:r>
    </w:p>
    <w:p>
      <w:pPr>
        <w:pStyle w:val="ListBullet"/>
        <w:spacing w:after="60"/>
      </w:pPr>
      <w:r>
        <w:t>Metrics dashboard and 90-day roadmap</w:t>
      </w:r>
    </w:p>
    <w:p>
      <w:pPr>
        <w:pStyle w:val="Heading2"/>
      </w:pPr>
      <w:r>
        <w:t>Acceptance criteria</w:t>
      </w:r>
    </w:p>
    <w:p>
      <w:pPr>
        <w:pStyle w:val="ListBullet"/>
        <w:spacing w:after="60"/>
      </w:pPr>
      <w:r>
        <w:t>☐ All K and A criteria are traceable</w:t>
      </w:r>
    </w:p>
    <w:p>
      <w:pPr>
        <w:pStyle w:val="ListBullet"/>
        <w:spacing w:after="60"/>
      </w:pPr>
      <w:r>
        <w:t>☐ Controls have owners and evidence</w:t>
      </w:r>
    </w:p>
    <w:p>
      <w:pPr>
        <w:pStyle w:val="ListBullet"/>
        <w:spacing w:after="60"/>
      </w:pPr>
      <w:r>
        <w:t>☐ Failure response and CAPA are closed-loop</w:t>
      </w:r>
    </w:p>
    <w:p>
      <w:pPr>
        <w:pStyle w:val="ListBullet"/>
        <w:spacing w:after="60"/>
      </w:pPr>
      <w:r>
        <w:t>☐ Plan uses current controlled standards for exact requirements</w:t>
      </w:r>
    </w:p>
    <w:p>
      <w:pPr>
        <w:pStyle w:val="Heading1"/>
      </w:pPr>
      <w:r>
        <w:t>Reference Sources</w:t>
      </w:r>
    </w:p>
    <w:p>
      <w:r>
        <w:t>Course page: https://www.tertiarycourses.com.sg/wsq-electrostatic-discharge-esd-control-for-lab-and-factory-engineers-and-managers.html</w:t>
      </w:r>
    </w:p>
    <w:p>
      <w:r>
        <w:t>Electrostatic discharge overview: https://en.wikipedia.org/wiki/Electrostatic_discharge</w:t>
      </w:r>
    </w:p>
    <w:p>
      <w:r>
        <w:t>Analog Devices ESD glossary: https://www.analog.com/en/resources/glossary/esd.html</w:t>
      </w:r>
    </w:p>
    <w:p>
      <w:r>
        <w:t>EOS/ESD Association Fundamentals Part 1: https://www.esda.org/esd-overview/esd-fundamentals/part-1-an-introduction-to-esd/</w:t>
      </w:r>
    </w:p>
    <w:p>
      <w:r>
        <w:t>Creative Safety Supply ESD explainer: https://www.creativesafetysupply.com/qa/electrical-safety/what-does-esd-stand-for</w:t>
      </w:r>
    </w:p>
    <w:p>
      <w:r>
        <w:t>Toshiba ESD FAQ: https://toshiba.semicon-storage.com/ap-en/semiconductor/knowledge/faq/diode_tvs-diodes/what-is-electrostatic-discharge-esd.html</w:t>
      </w:r>
    </w:p>
    <w:p>
      <w:r>
        <w:t>Electrostatic-sensitive device overview: https://en.wikipedia.org/wiki/Electrostatic-sensitive_device</w:t>
      </w:r>
    </w:p>
    <w:p>
      <w:r>
        <w:t>EOS/ESD Association: https://www.esda.org/</w:t>
      </w:r>
    </w:p>
    <w:p>
      <w:r>
        <w:t>Schneider Electric community ESD discussion: https://community.se.com/t5/Industry-Automation-and-Control/What-is-an-ESD/td-p/237728</w:t>
      </w:r>
    </w:p>
    <w:p>
      <w:r>
        <w:t>ESD disambiguation: https://en.wikipedia.org/wiki/ESD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