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773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01-pic-01-0e1b4a754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773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Electrostatic Discharge (ESD) Control for Lab and Factory Engineers and Managers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TGS-2024051412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5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5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5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556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556"/>
          </w:tcPr>
          <w:p>
            <w:r/>
            <w:r>
              <w:rPr>
                <w:sz w:val="19"/>
              </w:rPr>
              <w:t>Legacy release</w:t>
            </w:r>
          </w:p>
        </w:tc>
        <w:tc>
          <w:tcPr>
            <w:tcW w:type="dxa" w:w="2556"/>
          </w:tcPr>
          <w:p>
            <w:r/>
            <w:r>
              <w:rPr>
                <w:sz w:val="19"/>
              </w:rPr>
              <w:t>Legacy two-day outline.</w:t>
            </w:r>
          </w:p>
        </w:tc>
        <w:tc>
          <w:tcPr>
            <w:tcW w:type="dxa" w:w="2556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556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556"/>
          </w:tcPr>
          <w:p>
            <w:r/>
            <w:r>
              <w:rPr>
                <w:sz w:val="19"/>
              </w:rPr>
              <w:t>19 August 2026</w:t>
            </w:r>
          </w:p>
        </w:tc>
        <w:tc>
          <w:tcPr>
            <w:tcW w:type="dxa" w:w="2556"/>
          </w:tcPr>
          <w:p>
            <w:r/>
            <w:r>
              <w:rPr>
                <w:sz w:val="19"/>
              </w:rPr>
              <w:t>Rebuilt two-day plan aligned to the v3.0 slide map, eight activities and WA plus Case Study.</w:t>
            </w:r>
          </w:p>
        </w:tc>
        <w:tc>
          <w:tcPr>
            <w:tcW w:type="dxa" w:w="2556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Overview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Day 1 Schedule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Day 2 Schedule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and Assessment Alignment</w:t>
        <w:tab/>
        <w:t>5</w:t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Two-day WSQ programme. TSC: Electrostatic Discharge Control (ELE-OPR-4002-1.1). Assessment: Written Assessment (SAQ) — 4 open-ended questions, K1–K4, 1 hour, open book. Case Study (CS) — 2 open-ended tasks, A1–A3, 1 hour, open book.</w:t>
      </w:r>
    </w:p>
    <w:p>
      <w:pPr>
        <w:pStyle w:val="Heading1"/>
      </w:pPr>
      <w:r>
        <w:t>Learning Outcomes</w:t>
      </w:r>
    </w:p>
    <w:p>
      <w:pPr>
        <w:pStyle w:val="ListBullet"/>
        <w:spacing w:after="60"/>
      </w:pPr>
      <w:r>
        <w:t>LO1: Apply control measures to manage ESD generation based on ESD principles.</w:t>
      </w:r>
    </w:p>
    <w:p>
      <w:pPr>
        <w:pStyle w:val="ListBullet"/>
        <w:spacing w:after="60"/>
      </w:pPr>
      <w:r>
        <w:t>LO2: Evaluate and recommend actions to improve ESD control effectiveness in accordance with ESD standards.</w:t>
      </w:r>
    </w:p>
    <w:p>
      <w:pPr>
        <w:pStyle w:val="Heading1"/>
      </w:pPr>
      <w:r>
        <w:t>Day 1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3408"/>
            <w:shd w:fill="1F6FEB"/>
          </w:tcPr>
          <w:p>
            <w:r>
              <w:rPr>
                <w:b/>
                <w:color w:val="FFFFFF"/>
              </w:rPr>
              <w:t>Session / learning activity</w:t>
            </w:r>
          </w:p>
        </w:tc>
        <w:tc>
          <w:tcPr>
            <w:tcW w:type="dxa" w:w="3408"/>
            <w:shd w:fill="1F6FEB"/>
          </w:tcPr>
          <w:p>
            <w:r>
              <w:rPr>
                <w:b/>
                <w:color w:val="FFFFFF"/>
              </w:rPr>
              <w:t>Slide reference</w:t>
            </w:r>
          </w:p>
        </w:tc>
      </w:tr>
      <w:tr>
        <w:tc>
          <w:tcPr>
            <w:tcW w:type="dxa" w:w="3408"/>
            <w:vAlign w:val="center"/>
          </w:tcPr>
          <w:p>
            <w:r>
              <w:t>09:00–09:30</w:t>
            </w:r>
          </w:p>
        </w:tc>
        <w:tc>
          <w:tcPr>
            <w:tcW w:type="dxa" w:w="3408"/>
            <w:vAlign w:val="center"/>
          </w:tcPr>
          <w:p>
            <w:r>
              <w:t>Digital attendance, introductions and course briefing</w:t>
            </w:r>
          </w:p>
        </w:tc>
        <w:tc>
          <w:tcPr>
            <w:tcW w:type="dxa" w:w="3408"/>
            <w:vAlign w:val="center"/>
          </w:tcPr>
          <w:p>
            <w:r>
              <w:t>Admin / assessment</w:t>
            </w:r>
          </w:p>
        </w:tc>
      </w:tr>
      <w:tr>
        <w:tc>
          <w:tcPr>
            <w:tcW w:type="dxa" w:w="3408"/>
            <w:vAlign w:val="center"/>
          </w:tcPr>
          <w:p>
            <w:r>
              <w:t>09:30–10:30</w:t>
            </w:r>
          </w:p>
        </w:tc>
        <w:tc>
          <w:tcPr>
            <w:tcW w:type="dxa" w:w="3408"/>
            <w:vAlign w:val="center"/>
          </w:tcPr>
          <w:p>
            <w:r>
              <w:t>Module 1: charge generation, discharge paths and models</w:t>
            </w:r>
          </w:p>
        </w:tc>
        <w:tc>
          <w:tcPr>
            <w:tcW w:type="dxa" w:w="3408"/>
            <w:vAlign w:val="center"/>
          </w:tcPr>
          <w:p>
            <w:r>
              <w:t>15–105</w:t>
            </w:r>
          </w:p>
        </w:tc>
      </w:tr>
      <w:tr>
        <w:tc>
          <w:tcPr>
            <w:tcW w:type="dxa" w:w="3408"/>
            <w:vAlign w:val="center"/>
          </w:tcPr>
          <w:p>
            <w:r>
              <w:t>10:30–10:40</w:t>
            </w:r>
          </w:p>
        </w:tc>
        <w:tc>
          <w:tcPr>
            <w:tcW w:type="dxa" w:w="3408"/>
            <w:vAlign w:val="center"/>
          </w:tcPr>
          <w:p>
            <w:r>
              <w:t>Morning break</w:t>
            </w:r>
          </w:p>
        </w:tc>
        <w:tc>
          <w:tcPr>
            <w:tcW w:type="dxa" w:w="3408"/>
            <w:vAlign w:val="center"/>
          </w:tcPr>
          <w:p>
            <w:r>
              <w:t>Admin / assessment</w:t>
            </w:r>
          </w:p>
        </w:tc>
      </w:tr>
      <w:tr>
        <w:tc>
          <w:tcPr>
            <w:tcW w:type="dxa" w:w="3408"/>
            <w:vAlign w:val="center"/>
          </w:tcPr>
          <w:p>
            <w:r>
              <w:t>10:40–12:15</w:t>
            </w:r>
          </w:p>
        </w:tc>
        <w:tc>
          <w:tcPr>
            <w:tcW w:type="dxa" w:w="3408"/>
            <w:vAlign w:val="center"/>
          </w:tcPr>
          <w:p>
            <w:r>
              <w:t>Failure modes, exposure points and business impact</w:t>
            </w:r>
          </w:p>
        </w:tc>
        <w:tc>
          <w:tcPr>
            <w:tcW w:type="dxa" w:w="3408"/>
            <w:vAlign w:val="center"/>
          </w:tcPr>
          <w:p>
            <w:r>
              <w:t>15–105</w:t>
            </w:r>
          </w:p>
        </w:tc>
      </w:tr>
      <w:tr>
        <w:tc>
          <w:tcPr>
            <w:tcW w:type="dxa" w:w="3408"/>
            <w:vAlign w:val="center"/>
          </w:tcPr>
          <w:p>
            <w:r>
              <w:t>12:15–13:00</w:t>
            </w:r>
          </w:p>
        </w:tc>
        <w:tc>
          <w:tcPr>
            <w:tcW w:type="dxa" w:w="3408"/>
            <w:vAlign w:val="center"/>
          </w:tcPr>
          <w:p>
            <w:r>
              <w:t>Activities 1–2: hazard hunt and failure triage</w:t>
            </w:r>
          </w:p>
        </w:tc>
        <w:tc>
          <w:tcPr>
            <w:tcW w:type="dxa" w:w="3408"/>
            <w:vAlign w:val="center"/>
          </w:tcPr>
          <w:p>
            <w:r>
              <w:t>15–105, A1: 99–101, A2: 102–104</w:t>
            </w:r>
          </w:p>
        </w:tc>
      </w:tr>
      <w:tr>
        <w:tc>
          <w:tcPr>
            <w:tcW w:type="dxa" w:w="3408"/>
            <w:vAlign w:val="center"/>
          </w:tcPr>
          <w:p>
            <w:r>
              <w:t>13:00–13:45</w:t>
            </w:r>
          </w:p>
        </w:tc>
        <w:tc>
          <w:tcPr>
            <w:tcW w:type="dxa" w:w="3408"/>
            <w:vAlign w:val="center"/>
          </w:tcPr>
          <w:p>
            <w:r>
              <w:t>Lunch</w:t>
            </w:r>
          </w:p>
        </w:tc>
        <w:tc>
          <w:tcPr>
            <w:tcW w:type="dxa" w:w="3408"/>
            <w:vAlign w:val="center"/>
          </w:tcPr>
          <w:p>
            <w:r>
              <w:t>Admin / assessment</w:t>
            </w:r>
          </w:p>
        </w:tc>
      </w:tr>
      <w:tr>
        <w:tc>
          <w:tcPr>
            <w:tcW w:type="dxa" w:w="3408"/>
            <w:vAlign w:val="center"/>
          </w:tcPr>
          <w:p>
            <w:r>
              <w:t>13:45–15:15</w:t>
            </w:r>
          </w:p>
        </w:tc>
        <w:tc>
          <w:tcPr>
            <w:tcW w:type="dxa" w:w="3408"/>
            <w:vAlign w:val="center"/>
          </w:tcPr>
          <w:p>
            <w:r>
              <w:t>Module 2: EPA, grounding, personnel and worksurface controls</w:t>
            </w:r>
          </w:p>
        </w:tc>
        <w:tc>
          <w:tcPr>
            <w:tcW w:type="dxa" w:w="3408"/>
            <w:vAlign w:val="center"/>
          </w:tcPr>
          <w:p>
            <w:r>
              <w:t>106–151</w:t>
            </w:r>
          </w:p>
        </w:tc>
      </w:tr>
      <w:tr>
        <w:tc>
          <w:tcPr>
            <w:tcW w:type="dxa" w:w="3408"/>
            <w:vAlign w:val="center"/>
          </w:tcPr>
          <w:p>
            <w:r>
              <w:t>15:15–15:25</w:t>
            </w:r>
          </w:p>
        </w:tc>
        <w:tc>
          <w:tcPr>
            <w:tcW w:type="dxa" w:w="3408"/>
            <w:vAlign w:val="center"/>
          </w:tcPr>
          <w:p>
            <w:r>
              <w:t>Afternoon break</w:t>
            </w:r>
          </w:p>
        </w:tc>
        <w:tc>
          <w:tcPr>
            <w:tcW w:type="dxa" w:w="3408"/>
            <w:vAlign w:val="center"/>
          </w:tcPr>
          <w:p>
            <w:r>
              <w:t>Admin / assessment</w:t>
            </w:r>
          </w:p>
        </w:tc>
      </w:tr>
      <w:tr>
        <w:tc>
          <w:tcPr>
            <w:tcW w:type="dxa" w:w="3408"/>
            <w:vAlign w:val="center"/>
          </w:tcPr>
          <w:p>
            <w:r>
              <w:t>15:25–16:45</w:t>
            </w:r>
          </w:p>
        </w:tc>
        <w:tc>
          <w:tcPr>
            <w:tcW w:type="dxa" w:w="3408"/>
            <w:vAlign w:val="center"/>
          </w:tcPr>
          <w:p>
            <w:r>
              <w:t>Ionisation, shielding, packaging and material movement</w:t>
            </w:r>
          </w:p>
        </w:tc>
        <w:tc>
          <w:tcPr>
            <w:tcW w:type="dxa" w:w="3408"/>
            <w:vAlign w:val="center"/>
          </w:tcPr>
          <w:p>
            <w:r>
              <w:t>106–151</w:t>
            </w:r>
          </w:p>
        </w:tc>
      </w:tr>
      <w:tr>
        <w:tc>
          <w:tcPr>
            <w:tcW w:type="dxa" w:w="3408"/>
            <w:vAlign w:val="center"/>
          </w:tcPr>
          <w:p>
            <w:r>
              <w:t>16:45–17:45</w:t>
            </w:r>
          </w:p>
        </w:tc>
        <w:tc>
          <w:tcPr>
            <w:tcW w:type="dxa" w:w="3408"/>
            <w:vAlign w:val="center"/>
          </w:tcPr>
          <w:p>
            <w:r>
              <w:t>Activities 3–4: EPA design and automated-cell controls</w:t>
            </w:r>
          </w:p>
        </w:tc>
        <w:tc>
          <w:tcPr>
            <w:tcW w:type="dxa" w:w="3408"/>
            <w:vAlign w:val="center"/>
          </w:tcPr>
          <w:p>
            <w:r>
              <w:t>A3: 145–147, A4: 148–150</w:t>
            </w:r>
          </w:p>
        </w:tc>
      </w:tr>
      <w:tr>
        <w:tc>
          <w:tcPr>
            <w:tcW w:type="dxa" w:w="3408"/>
            <w:vAlign w:val="center"/>
          </w:tcPr>
          <w:p>
            <w:r>
              <w:t>17:45–18:00</w:t>
            </w:r>
          </w:p>
        </w:tc>
        <w:tc>
          <w:tcPr>
            <w:tcW w:type="dxa" w:w="3408"/>
            <w:vAlign w:val="center"/>
          </w:tcPr>
          <w:p>
            <w:r>
              <w:t>Day 1 recap and evidence check</w:t>
            </w:r>
          </w:p>
        </w:tc>
        <w:tc>
          <w:tcPr>
            <w:tcW w:type="dxa" w:w="3408"/>
            <w:vAlign w:val="center"/>
          </w:tcPr>
          <w:p>
            <w:r>
              <w:t>Admin / assessment</w:t>
            </w:r>
          </w:p>
        </w:tc>
      </w:tr>
    </w:tbl>
    <w:p>
      <w:pPr>
        <w:pStyle w:val="Heading1"/>
      </w:pPr>
      <w:r>
        <w:t>Day 2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3408"/>
            <w:shd w:fill="1F6FEB"/>
          </w:tcPr>
          <w:p>
            <w:r>
              <w:rPr>
                <w:b/>
                <w:color w:val="FFFFFF"/>
              </w:rPr>
              <w:t>Session / learning activity</w:t>
            </w:r>
          </w:p>
        </w:tc>
        <w:tc>
          <w:tcPr>
            <w:tcW w:type="dxa" w:w="3408"/>
            <w:shd w:fill="1F6FEB"/>
          </w:tcPr>
          <w:p>
            <w:r>
              <w:rPr>
                <w:b/>
                <w:color w:val="FFFFFF"/>
              </w:rPr>
              <w:t>Slide reference</w:t>
            </w:r>
          </w:p>
        </w:tc>
      </w:tr>
      <w:tr>
        <w:tc>
          <w:tcPr>
            <w:tcW w:type="dxa" w:w="3408"/>
            <w:vAlign w:val="center"/>
          </w:tcPr>
          <w:p>
            <w:r>
              <w:t>09:00–09:20</w:t>
            </w:r>
          </w:p>
        </w:tc>
        <w:tc>
          <w:tcPr>
            <w:tcW w:type="dxa" w:w="3408"/>
            <w:vAlign w:val="center"/>
          </w:tcPr>
          <w:p>
            <w:r>
              <w:t>Digital attendance and Day 1 retrieval practice</w:t>
            </w:r>
          </w:p>
        </w:tc>
        <w:tc>
          <w:tcPr>
            <w:tcW w:type="dxa" w:w="3408"/>
            <w:vAlign w:val="center"/>
          </w:tcPr>
          <w:p>
            <w:r>
              <w:t>Admin / assessment</w:t>
            </w:r>
          </w:p>
        </w:tc>
      </w:tr>
      <w:tr>
        <w:tc>
          <w:tcPr>
            <w:tcW w:type="dxa" w:w="3408"/>
            <w:vAlign w:val="center"/>
          </w:tcPr>
          <w:p>
            <w:r>
              <w:t>09:20–10:30</w:t>
            </w:r>
          </w:p>
        </w:tc>
        <w:tc>
          <w:tcPr>
            <w:tcW w:type="dxa" w:w="3408"/>
            <w:vAlign w:val="center"/>
          </w:tcPr>
          <w:p>
            <w:r>
              <w:t>Module 3: standards and programme architecture</w:t>
            </w:r>
          </w:p>
        </w:tc>
        <w:tc>
          <w:tcPr>
            <w:tcW w:type="dxa" w:w="3408"/>
            <w:vAlign w:val="center"/>
          </w:tcPr>
          <w:p>
            <w:r>
              <w:t>153–178</w:t>
            </w:r>
          </w:p>
        </w:tc>
      </w:tr>
      <w:tr>
        <w:tc>
          <w:tcPr>
            <w:tcW w:type="dxa" w:w="3408"/>
            <w:vAlign w:val="center"/>
          </w:tcPr>
          <w:p>
            <w:r>
              <w:t>10:30–10:40</w:t>
            </w:r>
          </w:p>
        </w:tc>
        <w:tc>
          <w:tcPr>
            <w:tcW w:type="dxa" w:w="3408"/>
            <w:vAlign w:val="center"/>
          </w:tcPr>
          <w:p>
            <w:r>
              <w:t>Morning break</w:t>
            </w:r>
          </w:p>
        </w:tc>
        <w:tc>
          <w:tcPr>
            <w:tcW w:type="dxa" w:w="3408"/>
            <w:vAlign w:val="center"/>
          </w:tcPr>
          <w:p>
            <w:r>
              <w:t>Admin / assessment</w:t>
            </w:r>
          </w:p>
        </w:tc>
      </w:tr>
      <w:tr>
        <w:tc>
          <w:tcPr>
            <w:tcW w:type="dxa" w:w="3408"/>
            <w:vAlign w:val="center"/>
          </w:tcPr>
          <w:p>
            <w:r>
              <w:t>10:40–12:00</w:t>
            </w:r>
          </w:p>
        </w:tc>
        <w:tc>
          <w:tcPr>
            <w:tcW w:type="dxa" w:w="3408"/>
            <w:vAlign w:val="center"/>
          </w:tcPr>
          <w:p>
            <w:r>
              <w:t>Measurement discipline, instruments and verification</w:t>
            </w:r>
          </w:p>
        </w:tc>
        <w:tc>
          <w:tcPr>
            <w:tcW w:type="dxa" w:w="3408"/>
            <w:vAlign w:val="center"/>
          </w:tcPr>
          <w:p>
            <w:r>
              <w:t>153–178</w:t>
            </w:r>
          </w:p>
        </w:tc>
      </w:tr>
      <w:tr>
        <w:tc>
          <w:tcPr>
            <w:tcW w:type="dxa" w:w="3408"/>
            <w:vAlign w:val="center"/>
          </w:tcPr>
          <w:p>
            <w:r>
              <w:t>12:00–13:00</w:t>
            </w:r>
          </w:p>
        </w:tc>
        <w:tc>
          <w:tcPr>
            <w:tcW w:type="dxa" w:w="3408"/>
            <w:vAlign w:val="center"/>
          </w:tcPr>
          <w:p>
            <w:r>
              <w:t>Activities 5–6: verification round and standards audit</w:t>
            </w:r>
          </w:p>
        </w:tc>
        <w:tc>
          <w:tcPr>
            <w:tcW w:type="dxa" w:w="3408"/>
            <w:vAlign w:val="center"/>
          </w:tcPr>
          <w:p>
            <w:r>
              <w:t>A5: 172–174, A6: 175–177</w:t>
            </w:r>
          </w:p>
        </w:tc>
      </w:tr>
      <w:tr>
        <w:tc>
          <w:tcPr>
            <w:tcW w:type="dxa" w:w="3408"/>
            <w:vAlign w:val="center"/>
          </w:tcPr>
          <w:p>
            <w:r>
              <w:t>13:00–13:45</w:t>
            </w:r>
          </w:p>
        </w:tc>
        <w:tc>
          <w:tcPr>
            <w:tcW w:type="dxa" w:w="3408"/>
            <w:vAlign w:val="center"/>
          </w:tcPr>
          <w:p>
            <w:r>
              <w:t>Lunch</w:t>
            </w:r>
          </w:p>
        </w:tc>
        <w:tc>
          <w:tcPr>
            <w:tcW w:type="dxa" w:w="3408"/>
            <w:vAlign w:val="center"/>
          </w:tcPr>
          <w:p>
            <w:r>
              <w:t>Admin / assessment</w:t>
            </w:r>
          </w:p>
        </w:tc>
      </w:tr>
      <w:tr>
        <w:tc>
          <w:tcPr>
            <w:tcW w:type="dxa" w:w="3408"/>
            <w:vAlign w:val="center"/>
          </w:tcPr>
          <w:p>
            <w:r>
              <w:t>13:45–14:45</w:t>
            </w:r>
          </w:p>
        </w:tc>
        <w:tc>
          <w:tcPr>
            <w:tcW w:type="dxa" w:w="3408"/>
            <w:vAlign w:val="center"/>
          </w:tcPr>
          <w:p>
            <w:r>
              <w:t>Module 4: competence, incident response and CAPA</w:t>
            </w:r>
          </w:p>
        </w:tc>
        <w:tc>
          <w:tcPr>
            <w:tcW w:type="dxa" w:w="3408"/>
            <w:vAlign w:val="center"/>
          </w:tcPr>
          <w:p>
            <w:r>
              <w:t>180–199</w:t>
            </w:r>
          </w:p>
        </w:tc>
      </w:tr>
      <w:tr>
        <w:tc>
          <w:tcPr>
            <w:tcW w:type="dxa" w:w="3408"/>
            <w:vAlign w:val="center"/>
          </w:tcPr>
          <w:p>
            <w:r>
              <w:t>14:45–14:55</w:t>
            </w:r>
          </w:p>
        </w:tc>
        <w:tc>
          <w:tcPr>
            <w:tcW w:type="dxa" w:w="3408"/>
            <w:vAlign w:val="center"/>
          </w:tcPr>
          <w:p>
            <w:r>
              <w:t>Afternoon break</w:t>
            </w:r>
          </w:p>
        </w:tc>
        <w:tc>
          <w:tcPr>
            <w:tcW w:type="dxa" w:w="3408"/>
            <w:vAlign w:val="center"/>
          </w:tcPr>
          <w:p>
            <w:r>
              <w:t>Admin / assessment</w:t>
            </w:r>
          </w:p>
        </w:tc>
      </w:tr>
      <w:tr>
        <w:tc>
          <w:tcPr>
            <w:tcW w:type="dxa" w:w="3408"/>
            <w:vAlign w:val="center"/>
          </w:tcPr>
          <w:p>
            <w:r>
              <w:t>14:55–15:35</w:t>
            </w:r>
          </w:p>
        </w:tc>
        <w:tc>
          <w:tcPr>
            <w:tcW w:type="dxa" w:w="3408"/>
            <w:vAlign w:val="center"/>
          </w:tcPr>
          <w:p>
            <w:r>
              <w:t>Activity 7: incident investigation</w:t>
            </w:r>
          </w:p>
        </w:tc>
        <w:tc>
          <w:tcPr>
            <w:tcW w:type="dxa" w:w="3408"/>
            <w:vAlign w:val="center"/>
          </w:tcPr>
          <w:p>
            <w:r>
              <w:t>A7: 193–195</w:t>
            </w:r>
          </w:p>
        </w:tc>
      </w:tr>
      <w:tr>
        <w:tc>
          <w:tcPr>
            <w:tcW w:type="dxa" w:w="3408"/>
            <w:vAlign w:val="center"/>
          </w:tcPr>
          <w:p>
            <w:r>
              <w:t>15:35–16:00</w:t>
            </w:r>
          </w:p>
        </w:tc>
        <w:tc>
          <w:tcPr>
            <w:tcW w:type="dxa" w:w="3408"/>
            <w:vAlign w:val="center"/>
          </w:tcPr>
          <w:p>
            <w:r>
              <w:t>Activity 8: management capstone and course summary</w:t>
            </w:r>
          </w:p>
        </w:tc>
        <w:tc>
          <w:tcPr>
            <w:tcW w:type="dxa" w:w="3408"/>
            <w:vAlign w:val="center"/>
          </w:tcPr>
          <w:p>
            <w:r>
              <w:t>A8: 196–198</w:t>
            </w:r>
          </w:p>
        </w:tc>
      </w:tr>
      <w:tr>
        <w:tc>
          <w:tcPr>
            <w:tcW w:type="dxa" w:w="3408"/>
            <w:vAlign w:val="center"/>
          </w:tcPr>
          <w:p>
            <w:r>
              <w:t>16:00–17:00</w:t>
            </w:r>
          </w:p>
        </w:tc>
        <w:tc>
          <w:tcPr>
            <w:tcW w:type="dxa" w:w="3408"/>
            <w:vAlign w:val="center"/>
          </w:tcPr>
          <w:p>
            <w:r>
              <w:t>Written Assessment (SAQ) — 1 hour</w:t>
            </w:r>
          </w:p>
        </w:tc>
        <w:tc>
          <w:tcPr>
            <w:tcW w:type="dxa" w:w="3408"/>
            <w:vAlign w:val="center"/>
          </w:tcPr>
          <w:p>
            <w:r>
              <w:t>Admin / assessment</w:t>
            </w:r>
          </w:p>
        </w:tc>
      </w:tr>
      <w:tr>
        <w:tc>
          <w:tcPr>
            <w:tcW w:type="dxa" w:w="3408"/>
            <w:vAlign w:val="center"/>
          </w:tcPr>
          <w:p>
            <w:r>
              <w:t>17:00–18:00</w:t>
            </w:r>
          </w:p>
        </w:tc>
        <w:tc>
          <w:tcPr>
            <w:tcW w:type="dxa" w:w="3408"/>
            <w:vAlign w:val="center"/>
          </w:tcPr>
          <w:p>
            <w:r>
              <w:t>Case Study (CS) — 1 hour</w:t>
            </w:r>
          </w:p>
        </w:tc>
        <w:tc>
          <w:tcPr>
            <w:tcW w:type="dxa" w:w="3408"/>
            <w:vAlign w:val="center"/>
          </w:tcPr>
          <w:p>
            <w:r>
              <w:t>Admin / assessment</w:t>
            </w:r>
          </w:p>
        </w:tc>
      </w:tr>
    </w:tbl>
    <w:p>
      <w:pPr>
        <w:pStyle w:val="Heading1"/>
      </w:pPr>
      <w:r>
        <w:t>Activity and Assessment Alignment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0B981"/>
          </w:tcPr>
          <w:p>
            <w:r>
              <w:t>Activity</w:t>
            </w:r>
          </w:p>
        </w:tc>
        <w:tc>
          <w:tcPr>
            <w:tcW w:type="dxa" w:w="2556"/>
            <w:shd w:fill="10B981"/>
          </w:tcPr>
          <w:p>
            <w:r>
              <w:t>K/A mapping</w:t>
            </w:r>
          </w:p>
        </w:tc>
        <w:tc>
          <w:tcPr>
            <w:tcW w:type="dxa" w:w="2556"/>
            <w:shd w:fill="10B981"/>
          </w:tcPr>
          <w:p>
            <w:r>
              <w:t>Output</w:t>
            </w:r>
          </w:p>
        </w:tc>
        <w:tc>
          <w:tcPr>
            <w:tcW w:type="dxa" w:w="2556"/>
            <w:shd w:fill="10B981"/>
          </w:tcPr>
          <w:p>
            <w:r>
              <w:t>Slides</w:t>
            </w:r>
          </w:p>
        </w:tc>
      </w:tr>
      <w:tr>
        <w:tc>
          <w:tcPr>
            <w:tcW w:type="dxa" w:w="2556"/>
          </w:tcPr>
          <w:p>
            <w:r>
              <w:t>1. Static Hazard Hunt at NovaSense Incoming Inspection</w:t>
            </w:r>
          </w:p>
        </w:tc>
        <w:tc>
          <w:tcPr>
            <w:tcW w:type="dxa" w:w="2556"/>
          </w:tcPr>
          <w:p>
            <w:r>
              <w:t>K1 · A1</w:t>
            </w:r>
          </w:p>
        </w:tc>
        <w:tc>
          <w:tcPr>
            <w:tcW w:type="dxa" w:w="2556"/>
          </w:tcPr>
          <w:p>
            <w:r>
              <w:t>Annotated hazard map; Risk-prioritisation worksheet; Three-control proposal; Peer-review note</w:t>
            </w:r>
          </w:p>
        </w:tc>
        <w:tc>
          <w:tcPr>
            <w:tcW w:type="dxa" w:w="2556"/>
          </w:tcPr>
          <w:p>
            <w:r>
              <w:t>99–101</w:t>
            </w:r>
          </w:p>
        </w:tc>
      </w:tr>
      <w:tr>
        <w:tc>
          <w:tcPr>
            <w:tcW w:type="dxa" w:w="2556"/>
          </w:tcPr>
          <w:p>
            <w:r>
              <w:t>2. Medical Microchip Failure Triage: ESD, EOS or Process Defect?</w:t>
            </w:r>
          </w:p>
        </w:tc>
        <w:tc>
          <w:tcPr>
            <w:tcW w:type="dxa" w:w="2556"/>
          </w:tcPr>
          <w:p>
            <w:r>
              <w:t>K1 · A1</w:t>
            </w:r>
          </w:p>
        </w:tc>
        <w:tc>
          <w:tcPr>
            <w:tcW w:type="dxa" w:w="2556"/>
          </w:tcPr>
          <w:p>
            <w:r>
              <w:t>Chronology; Hypothesis matrix; Containment plan; Decision-gate briefing</w:t>
            </w:r>
          </w:p>
        </w:tc>
        <w:tc>
          <w:tcPr>
            <w:tcW w:type="dxa" w:w="2556"/>
          </w:tcPr>
          <w:p>
            <w:r>
              <w:t>102–104</w:t>
            </w:r>
          </w:p>
        </w:tc>
      </w:tr>
      <w:tr>
        <w:tc>
          <w:tcPr>
            <w:tcW w:type="dxa" w:w="2556"/>
          </w:tcPr>
          <w:p>
            <w:r>
              <w:t>3. Design and Commission an EPA for Orion Optics</w:t>
            </w:r>
          </w:p>
        </w:tc>
        <w:tc>
          <w:tcPr>
            <w:tcW w:type="dxa" w:w="2556"/>
          </w:tcPr>
          <w:p>
            <w:r>
              <w:t>K3 · K4 · A1</w:t>
            </w:r>
          </w:p>
        </w:tc>
        <w:tc>
          <w:tcPr>
            <w:tcW w:type="dxa" w:w="2556"/>
          </w:tcPr>
          <w:p>
            <w:r>
              <w:t>EPA layout; Grounding/bonding diagram; Insulator-control register; Commissioning plan and readiness certificate</w:t>
            </w:r>
          </w:p>
        </w:tc>
        <w:tc>
          <w:tcPr>
            <w:tcW w:type="dxa" w:w="2556"/>
          </w:tcPr>
          <w:p>
            <w:r>
              <w:t>145–147</w:t>
            </w:r>
          </w:p>
        </w:tc>
      </w:tr>
      <w:tr>
        <w:tc>
          <w:tcPr>
            <w:tcW w:type="dxa" w:w="2556"/>
          </w:tcPr>
          <w:p>
            <w:r>
              <w:t>4. Select Controls for the Aster Robotics Handling Cell</w:t>
            </w:r>
          </w:p>
        </w:tc>
        <w:tc>
          <w:tcPr>
            <w:tcW w:type="dxa" w:w="2556"/>
          </w:tcPr>
          <w:p>
            <w:r>
              <w:t>K3 · K4 · A1</w:t>
            </w:r>
          </w:p>
        </w:tc>
        <w:tc>
          <w:tcPr>
            <w:tcW w:type="dxa" w:w="2556"/>
          </w:tcPr>
          <w:p>
            <w:r>
              <w:t>Exposure-path map; Control-selection matrix; Monitoring/stop-condition plan; Maintenance plan</w:t>
            </w:r>
          </w:p>
        </w:tc>
        <w:tc>
          <w:tcPr>
            <w:tcW w:type="dxa" w:w="2556"/>
          </w:tcPr>
          <w:p>
            <w:r>
              <w:t>148–150</w:t>
            </w:r>
          </w:p>
        </w:tc>
      </w:tr>
      <w:tr>
        <w:tc>
          <w:tcPr>
            <w:tcW w:type="dxa" w:w="2556"/>
          </w:tcPr>
          <w:p>
            <w:r>
              <w:t>5. Execute a Compliance Verification Round</w:t>
            </w:r>
          </w:p>
        </w:tc>
        <w:tc>
          <w:tcPr>
            <w:tcW w:type="dxa" w:w="2556"/>
          </w:tcPr>
          <w:p>
            <w:r>
              <w:t>K2 · K3 · A2</w:t>
            </w:r>
          </w:p>
        </w:tc>
        <w:tc>
          <w:tcPr>
            <w:tcW w:type="dxa" w:w="2556"/>
          </w:tcPr>
          <w:p>
            <w:r>
              <w:t>Completed measurement log; Failure/disposition records; Metric calculation; Signed evidence package</w:t>
            </w:r>
          </w:p>
        </w:tc>
        <w:tc>
          <w:tcPr>
            <w:tcW w:type="dxa" w:w="2556"/>
          </w:tcPr>
          <w:p>
            <w:r>
              <w:t>172–174</w:t>
            </w:r>
          </w:p>
        </w:tc>
      </w:tr>
      <w:tr>
        <w:tc>
          <w:tcPr>
            <w:tcW w:type="dxa" w:w="2556"/>
          </w:tcPr>
          <w:p>
            <w:r>
              <w:t>6. Standards-Based EPA Audit at Helix Assembly</w:t>
            </w:r>
          </w:p>
        </w:tc>
        <w:tc>
          <w:tcPr>
            <w:tcW w:type="dxa" w:w="2556"/>
          </w:tcPr>
          <w:p>
            <w:r>
              <w:t>K2 · A2 · A3</w:t>
            </w:r>
          </w:p>
        </w:tc>
        <w:tc>
          <w:tcPr>
            <w:tcW w:type="dxa" w:w="2556"/>
          </w:tcPr>
          <w:p>
            <w:r>
              <w:t>Audit plan; Completed checklist; Evidence register; Graded findings and follow-up plan</w:t>
            </w:r>
          </w:p>
        </w:tc>
        <w:tc>
          <w:tcPr>
            <w:tcW w:type="dxa" w:w="2556"/>
          </w:tcPr>
          <w:p>
            <w:r>
              <w:t>175–177</w:t>
            </w:r>
          </w:p>
        </w:tc>
      </w:tr>
      <w:tr>
        <w:tc>
          <w:tcPr>
            <w:tcW w:type="dxa" w:w="2556"/>
          </w:tcPr>
          <w:p>
            <w:r>
              <w:t>7. Investigate the PulseMed ESD Incident</w:t>
            </w:r>
          </w:p>
        </w:tc>
        <w:tc>
          <w:tcPr>
            <w:tcW w:type="dxa" w:w="2556"/>
          </w:tcPr>
          <w:p>
            <w:r>
              <w:t>K4 · A2 · A3</w:t>
            </w:r>
          </w:p>
        </w:tc>
        <w:tc>
          <w:tcPr>
            <w:tcW w:type="dxa" w:w="2556"/>
          </w:tcPr>
          <w:p>
            <w:r>
              <w:t>Containment record; Timeline and causal analysis; CAPA plan; Effectiveness-verification plan</w:t>
            </w:r>
          </w:p>
        </w:tc>
        <w:tc>
          <w:tcPr>
            <w:tcW w:type="dxa" w:w="2556"/>
          </w:tcPr>
          <w:p>
            <w:r>
              <w:t>193–195</w:t>
            </w:r>
          </w:p>
        </w:tc>
      </w:tr>
      <w:tr>
        <w:tc>
          <w:tcPr>
            <w:tcW w:type="dxa" w:w="2556"/>
          </w:tcPr>
          <w:p>
            <w:r>
              <w:t>8. Management Capstone: Build the Apex ESD Control Plan</w:t>
            </w:r>
          </w:p>
        </w:tc>
        <w:tc>
          <w:tcPr>
            <w:tcW w:type="dxa" w:w="2556"/>
          </w:tcPr>
          <w:p>
            <w:r>
              <w:t>K1–K4 · A1–A3</w:t>
            </w:r>
          </w:p>
        </w:tc>
        <w:tc>
          <w:tcPr>
            <w:tcW w:type="dxa" w:w="2556"/>
          </w:tcPr>
          <w:p>
            <w:r>
              <w:t>ESD control plan; Qualification and verification matrices; Competency matrix; Metrics dashboard and 90-day roadmap</w:t>
            </w:r>
          </w:p>
        </w:tc>
        <w:tc>
          <w:tcPr>
            <w:tcW w:type="dxa" w:w="2556"/>
          </w:tcPr>
          <w:p>
            <w:r>
              <w:t>196–198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