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6FEB"/>
          <w:sz w:val="32"/>
        </w:rPr>
        <w:t>TERTIARY INFOTECH ACADEMY</w:t>
      </w:r>
    </w:p>
    <w:p>
      <w:pPr>
        <w:jc w:val="center"/>
      </w:pPr>
      <w:r>
        <w:rPr>
          <w:rFonts w:ascii="Arial" w:hAnsi="Arial"/>
          <w:b/>
          <w:sz w:val="48"/>
        </w:rPr>
        <w:t>LAB 04</w:t>
        <w:br/>
        <w:t>Deploy and Test a Multi-AZ Highly Available Service</w:t>
      </w:r>
    </w:p>
    <w:p>
      <w:pPr>
        <w:jc w:val="center"/>
      </w:pPr>
      <w:r>
        <w:rPr>
          <w:sz w:val="22"/>
        </w:rPr>
        <w:t>AWS Certified SysOps Administrator Associate Training</w:t>
        <w:br/>
        <w:t>TGS-2024051413 · Version v5.0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sz w:val="21"/>
        </w:rPr>
        <w:t>Scenario</w:t>
      </w:r>
    </w:p>
    <w:p>
      <w:r>
        <w:rPr>
          <w:rFonts w:ascii="Arial" w:hAnsi="Arial"/>
          <w:b w:val="0"/>
          <w:sz w:val="21"/>
        </w:rPr>
        <w:t>Northstar Retail's single-instance web service cannot survive an instance or Availability Zone disruption.</w:t>
      </w:r>
    </w:p>
    <w:p>
      <w:pPr>
        <w:pStyle w:val="Heading1"/>
      </w:pPr>
      <w:r>
        <w:rPr>
          <w:rFonts w:ascii="Arial" w:hAnsi="Arial"/>
          <w:b/>
          <w:sz w:val="21"/>
        </w:rPr>
        <w:t>Objective</w:t>
      </w:r>
    </w:p>
    <w:p>
      <w:r>
        <w:rPr>
          <w:rFonts w:ascii="Arial" w:hAnsi="Arial"/>
          <w:b w:val="0"/>
          <w:sz w:val="21"/>
        </w:rPr>
        <w:t>Apply K4, K5, A3 and A5 by deploying an ALB and Auto Scaling service across two Availability Zones, testing health-based recovery and recording a controlled change.</w:t>
      </w:r>
    </w:p>
    <w:p>
      <w:pPr>
        <w:pStyle w:val="Heading1"/>
      </w:pPr>
      <w:r>
        <w:rPr>
          <w:rFonts w:ascii="Arial" w:hAnsi="Arial"/>
          <w:b/>
          <w:sz w:val="21"/>
        </w:rPr>
        <w:t>Deliverable</w:t>
      </w:r>
    </w:p>
    <w:p>
      <w:r>
        <w:rPr>
          <w:rFonts w:ascii="Arial" w:hAnsi="Arial"/>
          <w:b w:val="0"/>
          <w:sz w:val="21"/>
        </w:rPr>
        <w:t>A two-AZ VPC web tier, ALB, target group, launch template, Auto Scaling group, failover evidence and cleanup record.</w:t>
      </w:r>
    </w:p>
    <w:p>
      <w:pPr>
        <w:pStyle w:val="Heading1"/>
      </w:pPr>
      <w:r>
        <w:rPr>
          <w:rFonts w:ascii="Arial" w:hAnsi="Arial"/>
          <w:b/>
          <w:sz w:val="21"/>
        </w:rPr>
        <w:t>Services and tools</w:t>
      </w:r>
    </w:p>
    <w:p>
      <w:r>
        <w:rPr>
          <w:rFonts w:ascii="Arial" w:hAnsi="Arial"/>
          <w:b w:val="0"/>
          <w:sz w:val="21"/>
        </w:rPr>
        <w:t>VPC · EC2 · ALB · Auto Scaling · CloudWatch · CloudFormation</w:t>
      </w:r>
    </w:p>
    <w:p>
      <w:pPr>
        <w:pStyle w:val="Heading1"/>
      </w:pPr>
      <w:r>
        <w:rPr>
          <w:rFonts w:ascii="Arial" w:hAnsi="Arial"/>
          <w:b/>
          <w:sz w:val="21"/>
        </w:rPr>
        <w:t>Safety and cost boundary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only the trainer-authorised learner account and Region.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Replace placeholders and tag learner-owned resources.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Capture evidence before cleanup.</w:t>
      </w:r>
    </w:p>
    <w:p>
      <w:pPr>
        <w:pStyle w:val="ListBullet"/>
      </w:pPr>
      <w:r>
        <w:rPr>
          <w:rFonts w:ascii="Arial" w:hAnsi="Arial"/>
          <w:b w:val="0"/>
          <w:sz w:val="21"/>
        </w:rPr>
        <w:t>Verify deletion and report retained chargeable resources.</w:t>
      </w:r>
    </w:p>
    <w:p>
      <w:pPr>
        <w:pStyle w:val="Heading1"/>
      </w:pPr>
      <w:r>
        <w:rPr>
          <w:rFonts w:ascii="Arial" w:hAnsi="Arial"/>
          <w:b/>
          <w:sz w:val="21"/>
        </w:rPr>
        <w:t>Detailed procedure</w:t>
      </w:r>
    </w:p>
    <w:p>
      <w:pPr>
        <w:pStyle w:val="Heading2"/>
      </w:pPr>
      <w:r>
        <w:rPr>
          <w:rFonts w:ascii="Arial" w:hAnsi="Arial"/>
          <w:b/>
          <w:sz w:val="21"/>
        </w:rPr>
        <w:t>Step 1 — Review `ha-web-stack.yaml` and the architecture JPEG. Identify the two failure domains, health-check path, minimum capacity and rollback boundary.</w:t>
      </w:r>
    </w:p>
    <w:p>
      <w:pPr>
        <w:ind w:left="360"/>
      </w:pPr>
      <w:r>
        <w:rPr>
          <w:rFonts w:ascii="Consolas" w:hAnsi="Consolas"/>
          <w:sz w:val="17"/>
        </w:rPr>
        <w:t>open EXPECTED-ARCHITECTURE.jpg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2 — Validate the template and deploy it with a unique suffix.</w:t>
      </w:r>
    </w:p>
    <w:p>
      <w:pPr>
        <w:ind w:left="360"/>
      </w:pPr>
      <w:r>
        <w:rPr>
          <w:rFonts w:ascii="Consolas" w:hAnsi="Consolas"/>
          <w:sz w:val="17"/>
        </w:rPr>
        <w:t>aws cloudformation validate-template --template-body file://ha-web-stack.yaml</w:t>
        <w:br/>
        <w:t>aws cloudformation deploy --stack-name SysOps-Lab04-REPLACE_SUFFIX --template-file ha-web-stack.yaml --capabilities CAPABILITY_NAMED_IAM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3 — Read the stack outputs; save the ALB URL, target group and Auto Scaling group identifiers.</w:t>
      </w:r>
    </w:p>
    <w:p>
      <w:pPr>
        <w:ind w:left="360"/>
      </w:pPr>
      <w:r>
        <w:rPr>
          <w:rFonts w:ascii="Consolas" w:hAnsi="Consolas"/>
          <w:sz w:val="17"/>
        </w:rPr>
        <w:t>aws cloudformation describe-stacks --stack-name SysOps-Lab04-REPLACE_SUFFIX --query 'Stacks[0].Outputs' --output table | tee evidence/stack-outputs.txt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4 — Open the ALB URL repeatedly and confirm both Availability Zones contain healthy targets.</w:t>
      </w:r>
    </w:p>
    <w:p>
      <w:pPr>
        <w:ind w:left="360"/>
      </w:pPr>
      <w:r>
        <w:rPr>
          <w:rFonts w:ascii="Consolas" w:hAnsi="Consolas"/>
          <w:sz w:val="17"/>
        </w:rPr>
        <w:t>aws elbv2 describe-target-health --target-group-arn REPLACE_TARGET_GROUP_ARN --output table | tee evidence/target-health-before.txt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5 — Inspect desired, minimum and maximum capacity. Confirm the group is configured across two subnets.</w:t>
      </w:r>
    </w:p>
    <w:p>
      <w:pPr>
        <w:ind w:left="360"/>
      </w:pPr>
      <w:r>
        <w:rPr>
          <w:rFonts w:ascii="Consolas" w:hAnsi="Consolas"/>
          <w:sz w:val="17"/>
        </w:rPr>
        <w:t>aws autoscaling describe-auto-scaling-groups --auto-scaling-group-names REPLACE_ASG_NAME --output json | tee evidence/asg-before.json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6 — Run the bounded failure test by terminating one learner-owned instance in the Auto Scaling group; record the UTC start time and change ID.</w:t>
      </w:r>
    </w:p>
    <w:p>
      <w:pPr>
        <w:ind w:left="360"/>
      </w:pPr>
      <w:r>
        <w:rPr>
          <w:rFonts w:ascii="Consolas" w:hAnsi="Consolas"/>
          <w:sz w:val="17"/>
        </w:rPr>
        <w:t>aws ec2 terminate-instances --instance-ids REPLACE_CANARY_INSTANCE_ID | tee evidence/termination.json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7 — Observe target health, replacement activity and ALB availability until desired capacity and health recover.</w:t>
      </w:r>
    </w:p>
    <w:p>
      <w:pPr>
        <w:ind w:left="360"/>
      </w:pPr>
      <w:r>
        <w:rPr>
          <w:rFonts w:ascii="Consolas" w:hAnsi="Consolas"/>
          <w:sz w:val="17"/>
        </w:rPr>
        <w:t>bash failover-observe.sh REPLACE_ASG_NAME REPLACE_TARGET_GROUP_ARN | tee evidence/failover-observation.txt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8 — Calculate detection and recovery time in `FAILOVER-REPORT.md`; explain whether the observed result meets the stated objective.</w:t>
      </w:r>
    </w:p>
    <w:p>
      <w:pPr>
        <w:ind w:left="360"/>
      </w:pPr>
      <w:r>
        <w:rPr>
          <w:rFonts w:ascii="Consolas" w:hAnsi="Consolas"/>
          <w:sz w:val="17"/>
        </w:rPr>
        <w:t>open FAILOVER-REPORT.md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9 — Create the target-tracking policy from `scaling-policy.json` only if the trainer approves a scaling demonstration.</w:t>
      </w:r>
    </w:p>
    <w:p>
      <w:pPr>
        <w:ind w:left="360"/>
      </w:pPr>
      <w:r>
        <w:rPr>
          <w:rFonts w:ascii="Consolas" w:hAnsi="Consolas"/>
          <w:sz w:val="17"/>
        </w:rPr>
        <w:t>aws autoscaling put-scaling-policy --cli-input-json file://scaling-policy.json | tee evidence/scaling-policy.json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10 — Capture ALB health, Auto Scaling activity and CloudWatch signals as JPEG evidence.</w:t>
      </w:r>
    </w:p>
    <w:p>
      <w:pPr>
        <w:ind w:left="360"/>
      </w:pPr>
      <w:r>
        <w:rPr>
          <w:rFonts w:ascii="Consolas" w:hAnsi="Consolas"/>
          <w:sz w:val="17"/>
        </w:rPr>
        <w:t>open EXPECTED-ARCHITECTURE.jpg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11 — Run validation, delete the stack and wait for DELETE_COMPLETE before leaving the lab.</w:t>
      </w:r>
    </w:p>
    <w:p>
      <w:pPr>
        <w:ind w:left="360"/>
      </w:pPr>
      <w:r>
        <w:rPr>
          <w:rFonts w:ascii="Consolas" w:hAnsi="Consolas"/>
          <w:sz w:val="17"/>
        </w:rPr>
        <w:t>bash validate.sh</w:t>
        <w:br/>
        <w:t>bash cleanup.sh | tee evidence/cleanup.txt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1"/>
      </w:pPr>
      <w:r>
        <w:rPr>
          <w:rFonts w:ascii="Arial" w:hAnsi="Arial"/>
          <w:b/>
          <w:sz w:val="21"/>
        </w:rPr>
        <w:t>Verification</w:t>
      </w:r>
    </w:p>
    <w:p>
      <w:r>
        <w:rPr>
          <w:rFonts w:ascii="Arial" w:hAnsi="Arial"/>
          <w:b w:val="0"/>
          <w:sz w:val="21"/>
        </w:rPr>
        <w:t>The service spans two Availability Zones, returns a healthy response during one-instance replacement, recovers desired capacity, records measured recovery time, and validation emits LAB 04 PASS.</w:t>
      </w:r>
    </w:p>
    <w:p>
      <w:pPr>
        <w:pStyle w:val="Heading1"/>
      </w:pPr>
      <w:r>
        <w:rPr>
          <w:rFonts w:ascii="Arial" w:hAnsi="Arial"/>
          <w:b/>
          <w:sz w:val="21"/>
        </w:rPr>
        <w:t>Acceptance criteria</w:t>
      </w:r>
    </w:p>
    <w:p>
      <w:pPr>
        <w:pStyle w:val="ListBullet"/>
      </w:pPr>
      <w:r>
        <w:rPr>
          <w:rFonts w:ascii="Arial" w:hAnsi="Arial"/>
          <w:b w:val="0"/>
          <w:sz w:val="21"/>
        </w:rPr>
        <w:t>Two distinct Availability Zones</w:t>
      </w:r>
    </w:p>
    <w:p>
      <w:pPr>
        <w:pStyle w:val="ListBullet"/>
      </w:pPr>
      <w:r>
        <w:rPr>
          <w:rFonts w:ascii="Arial" w:hAnsi="Arial"/>
          <w:b w:val="0"/>
          <w:sz w:val="21"/>
        </w:rPr>
        <w:t>Minimum and desired capacity at least two</w:t>
      </w:r>
    </w:p>
    <w:p>
      <w:pPr>
        <w:pStyle w:val="ListBullet"/>
      </w:pPr>
      <w:r>
        <w:rPr>
          <w:rFonts w:ascii="Arial" w:hAnsi="Arial"/>
          <w:b w:val="0"/>
          <w:sz w:val="21"/>
        </w:rPr>
        <w:t>Health check represents application response</w:t>
      </w:r>
    </w:p>
    <w:p>
      <w:pPr>
        <w:pStyle w:val="ListBullet"/>
      </w:pPr>
      <w:r>
        <w:rPr>
          <w:rFonts w:ascii="Arial" w:hAnsi="Arial"/>
          <w:b w:val="0"/>
          <w:sz w:val="21"/>
        </w:rPr>
        <w:t>Failure test affects only learner-owned canary</w:t>
      </w:r>
    </w:p>
    <w:p>
      <w:pPr>
        <w:pStyle w:val="ListBullet"/>
      </w:pPr>
      <w:r>
        <w:rPr>
          <w:rFonts w:ascii="Arial" w:hAnsi="Arial"/>
          <w:b w:val="0"/>
          <w:sz w:val="21"/>
        </w:rPr>
        <w:t>Measured recovery and rollback are documented</w:t>
      </w:r>
    </w:p>
    <w:p>
      <w:pPr>
        <w:pStyle w:val="Heading1"/>
      </w:pPr>
      <w:r>
        <w:rPr>
          <w:rFonts w:ascii="Arial" w:hAnsi="Arial"/>
          <w:b/>
          <w:sz w:val="21"/>
        </w:rPr>
        <w:t>Evidence checklist</w:t>
      </w:r>
    </w:p>
    <w:p>
      <w:r>
        <w:rPr>
          <w:rFonts w:ascii="Arial" w:hAnsi="Arial"/>
          <w:b w:val="0"/>
          <w:sz w:val="21"/>
        </w:rPr>
        <w:t>☐ Stack outputs</w:t>
      </w:r>
    </w:p>
    <w:p>
      <w:r>
        <w:rPr>
          <w:rFonts w:ascii="Arial" w:hAnsi="Arial"/>
          <w:b w:val="0"/>
          <w:sz w:val="21"/>
        </w:rPr>
        <w:t>☐ Target health before/after</w:t>
      </w:r>
    </w:p>
    <w:p>
      <w:r>
        <w:rPr>
          <w:rFonts w:ascii="Arial" w:hAnsi="Arial"/>
          <w:b w:val="0"/>
          <w:sz w:val="21"/>
        </w:rPr>
        <w:t>☐ Auto Scaling activity</w:t>
      </w:r>
    </w:p>
    <w:p>
      <w:r>
        <w:rPr>
          <w:rFonts w:ascii="Arial" w:hAnsi="Arial"/>
          <w:b w:val="0"/>
          <w:sz w:val="21"/>
        </w:rPr>
        <w:t>☐ ALB response JPEG</w:t>
      </w:r>
    </w:p>
    <w:p>
      <w:r>
        <w:rPr>
          <w:rFonts w:ascii="Arial" w:hAnsi="Arial"/>
          <w:b w:val="0"/>
          <w:sz w:val="21"/>
        </w:rPr>
        <w:t>☐ completed FAILOVER-REPORT.md</w:t>
      </w:r>
    </w:p>
    <w:p>
      <w:r>
        <w:rPr>
          <w:rFonts w:ascii="Arial" w:hAnsi="Arial"/>
          <w:b w:val="0"/>
          <w:sz w:val="21"/>
        </w:rPr>
        <w:t>☐ cleanup.txt</w:t>
      </w:r>
    </w:p>
    <w:p>
      <w:pPr>
        <w:pStyle w:val="Heading1"/>
      </w:pPr>
      <w:r>
        <w:rPr>
          <w:rFonts w:ascii="Arial" w:hAnsi="Arial"/>
          <w:b/>
          <w:sz w:val="21"/>
        </w:rPr>
        <w:t>Troubleshooting</w:t>
      </w:r>
    </w:p>
    <w:p>
      <w:pPr>
        <w:pStyle w:val="ListBullet"/>
      </w:pPr>
      <w:r>
        <w:rPr>
          <w:rFonts w:ascii="Arial" w:hAnsi="Arial"/>
          <w:b w:val="0"/>
          <w:sz w:val="21"/>
        </w:rPr>
        <w:t>Check identity, Region and resource ID before changing permissions.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Resolve every REPLACE placeholder.</w:t>
      </w:r>
    </w:p>
    <w:p>
      <w:pPr>
        <w:pStyle w:val="ListBullet"/>
      </w:pPr>
      <w:r>
        <w:rPr>
          <w:rFonts w:ascii="Arial" w:hAnsi="Arial"/>
          <w:b w:val="0"/>
          <w:sz w:val="21"/>
        </w:rPr>
        <w:t>Preserve error output as evidence.</w:t>
      </w:r>
    </w:p>
    <w:p>
      <w:pPr>
        <w:pStyle w:val="ListBullet"/>
      </w:pPr>
      <w:r>
        <w:rPr>
          <w:rFonts w:ascii="Arial" w:hAnsi="Arial"/>
          <w:b w:val="0"/>
          <w:sz w:val="21"/>
        </w:rPr>
        <w:t>Escalate cleanup failures immediately.</w:t>
      </w:r>
    </w:p>
    <w:sectPr w:rsidR="00FC693F" w:rsidRPr="0006063C" w:rsidSect="00034616">
      <w:pgSz w:w="12240" w:h="15840"/>
      <w:pgMar w:top="144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