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6FEB"/>
          <w:sz w:val="32"/>
        </w:rPr>
        <w:t>TERTIARY INFOTECH ACADEMY</w:t>
      </w:r>
    </w:p>
    <w:p>
      <w:pPr>
        <w:jc w:val="center"/>
      </w:pPr>
      <w:r>
        <w:rPr>
          <w:rFonts w:ascii="Arial" w:hAnsi="Arial"/>
          <w:b/>
          <w:sz w:val="48"/>
        </w:rPr>
        <w:t>LAB 07</w:t>
        <w:br/>
        <w:t>Build a Multi-Account Compliance Evidence Flow</w:t>
      </w:r>
    </w:p>
    <w:p>
      <w:pPr>
        <w:jc w:val="center"/>
      </w:pPr>
      <w:r>
        <w:rPr>
          <w:sz w:val="22"/>
        </w:rPr>
        <w:t>AWS Certified SysOps Administrator Associate Training</w:t>
        <w:br/>
        <w:t>TGS-2024051413 · Version v5.0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sz w:val="21"/>
        </w:rPr>
        <w:t>Scenario</w:t>
      </w:r>
    </w:p>
    <w:p>
      <w:r>
        <w:rPr>
          <w:rFonts w:ascii="Arial" w:hAnsi="Arial"/>
          <w:b w:val="0"/>
          <w:sz w:val="21"/>
        </w:rPr>
        <w:t>Northstar Retail cannot demonstrate consistent security and service-quality controls across its training accounts.</w:t>
      </w:r>
    </w:p>
    <w:p>
      <w:pPr>
        <w:pStyle w:val="Heading1"/>
      </w:pPr>
      <w:r>
        <w:rPr>
          <w:rFonts w:ascii="Arial" w:hAnsi="Arial"/>
          <w:b/>
          <w:sz w:val="21"/>
        </w:rPr>
        <w:t>Objective</w:t>
      </w:r>
    </w:p>
    <w:p>
      <w:r>
        <w:rPr>
          <w:rFonts w:ascii="Arial" w:hAnsi="Arial"/>
          <w:b w:val="0"/>
          <w:sz w:val="21"/>
        </w:rPr>
        <w:t>Apply K1, K3, A1 and A7 by evaluating required tags and encryption, aggregating findings and documenting a controlled remediation exception.</w:t>
      </w:r>
    </w:p>
    <w:p>
      <w:pPr>
        <w:pStyle w:val="Heading1"/>
      </w:pPr>
      <w:r>
        <w:rPr>
          <w:rFonts w:ascii="Arial" w:hAnsi="Arial"/>
          <w:b/>
          <w:sz w:val="21"/>
        </w:rPr>
        <w:t>Deliverable</w:t>
      </w:r>
    </w:p>
    <w:p>
      <w:r>
        <w:rPr>
          <w:rFonts w:ascii="Arial" w:hAnsi="Arial"/>
          <w:b w:val="0"/>
          <w:sz w:val="21"/>
        </w:rPr>
        <w:t>A Config rule template, tag policy, findings register, remediation decision and service-quality scorecard.</w:t>
      </w:r>
    </w:p>
    <w:p>
      <w:pPr>
        <w:pStyle w:val="Heading1"/>
      </w:pPr>
      <w:r>
        <w:rPr>
          <w:rFonts w:ascii="Arial" w:hAnsi="Arial"/>
          <w:b/>
          <w:sz w:val="21"/>
        </w:rPr>
        <w:t>Services and tools</w:t>
      </w:r>
    </w:p>
    <w:p>
      <w:r>
        <w:rPr>
          <w:rFonts w:ascii="Arial" w:hAnsi="Arial"/>
          <w:b w:val="0"/>
          <w:sz w:val="21"/>
        </w:rPr>
        <w:t>AWS Config · Organizations · Security Hub · EventBridge · Systems Manager Automation</w:t>
      </w:r>
    </w:p>
    <w:p>
      <w:pPr>
        <w:pStyle w:val="Heading1"/>
      </w:pPr>
      <w:r>
        <w:rPr>
          <w:rFonts w:ascii="Arial" w:hAnsi="Arial"/>
          <w:b/>
          <w:sz w:val="21"/>
        </w:rPr>
        <w:t>Safety and cost boundary</w:t>
      </w:r>
    </w:p>
    <w:p>
      <w:pPr>
        <w:pStyle w:val="ListBullet"/>
      </w:pPr>
      <w:r>
        <w:rPr>
          <w:rFonts w:ascii="Arial" w:hAnsi="Arial"/>
          <w:b w:val="0"/>
          <w:sz w:val="21"/>
        </w:rPr>
        <w:t>Use only the trainer-authorised learner account and Region.</w:t>
      </w:r>
    </w:p>
    <w:p>
      <w:pPr>
        <w:pStyle w:val="ListBullet"/>
      </w:pPr>
      <w:r>
        <w:rPr>
          <w:rFonts w:ascii="Arial" w:hAnsi="Arial"/>
          <w:b w:val="0"/>
          <w:sz w:val="21"/>
        </w:rPr>
        <w:t>Replace placeholders and tag learner-owned resources.</w:t>
      </w:r>
    </w:p>
    <w:p>
      <w:pPr>
        <w:pStyle w:val="ListBullet"/>
      </w:pPr>
      <w:r>
        <w:rPr>
          <w:rFonts w:ascii="Arial" w:hAnsi="Arial"/>
          <w:b w:val="0"/>
          <w:sz w:val="21"/>
        </w:rPr>
        <w:t>Capture evidence before cleanup.</w:t>
      </w:r>
    </w:p>
    <w:p>
      <w:pPr>
        <w:pStyle w:val="ListBullet"/>
      </w:pPr>
      <w:r>
        <w:rPr>
          <w:rFonts w:ascii="Arial" w:hAnsi="Arial"/>
          <w:b w:val="0"/>
          <w:sz w:val="21"/>
        </w:rPr>
        <w:t>Verify deletion and report retained chargeable resources.</w:t>
      </w:r>
    </w:p>
    <w:p>
      <w:pPr>
        <w:pStyle w:val="Heading1"/>
      </w:pPr>
      <w:r>
        <w:rPr>
          <w:rFonts w:ascii="Arial" w:hAnsi="Arial"/>
          <w:b/>
          <w:sz w:val="21"/>
        </w:rPr>
        <w:t>Detailed procedure</w:t>
      </w:r>
    </w:p>
    <w:p>
      <w:pPr>
        <w:pStyle w:val="Heading2"/>
      </w:pPr>
      <w:r>
        <w:rPr>
          <w:rFonts w:ascii="Arial" w:hAnsi="Arial"/>
          <w:b/>
          <w:sz w:val="21"/>
        </w:rPr>
        <w:t>Step 1 — Review the required state in `QUALITY-STANDARD.md`; define scope, evidence, owner, remediation SLA and exception expiry.</w:t>
      </w:r>
    </w:p>
    <w:p>
      <w:pPr>
        <w:ind w:left="360"/>
      </w:pPr>
      <w:r>
        <w:rPr>
          <w:rFonts w:ascii="Consolas" w:hAnsi="Consolas"/>
          <w:sz w:val="17"/>
        </w:rPr>
        <w:t>open QUALITY-STANDARD.md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2 — Validate `config-controls.yaml` and `tag-policy.json`; replace the approved delivery channel and organisation values.</w:t>
      </w:r>
    </w:p>
    <w:p>
      <w:pPr>
        <w:ind w:left="360"/>
      </w:pPr>
      <w:r>
        <w:rPr>
          <w:rFonts w:ascii="Consolas" w:hAnsi="Consolas"/>
          <w:sz w:val="17"/>
        </w:rPr>
        <w:t>aws cloudformation validate-template --template-body file://config-controls.yaml</w:t>
        <w:br/>
        <w:t>python3 -m json.tool tag-policy.json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3 — Deploy the Config controls in the learner account and record the recorder and delivery status.</w:t>
      </w:r>
    </w:p>
    <w:p>
      <w:pPr>
        <w:ind w:left="360"/>
      </w:pPr>
      <w:r>
        <w:rPr>
          <w:rFonts w:ascii="Consolas" w:hAnsi="Consolas"/>
          <w:sz w:val="17"/>
        </w:rPr>
        <w:t>aws cloudformation deploy --stack-name SysOps-Lab07-REPLACE_SUFFIX --template-file config-controls.yaml --capabilities CAPABILITY_NAMED_IAM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4 — Create one compliant and one intentionally noncompliant learner-owned test resource.</w:t>
      </w:r>
    </w:p>
    <w:p>
      <w:pPr>
        <w:ind w:left="360"/>
      </w:pPr>
      <w:r>
        <w:rPr>
          <w:rFonts w:ascii="Consolas" w:hAnsi="Consolas"/>
          <w:sz w:val="17"/>
        </w:rPr>
        <w:t>aws resourcegroupstaggingapi get-resources --tag-filters Key=Course,Values=TGS-2024051413 | tee evidence/tagged-resources.json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5 — Run rule evaluation and export compliant/noncompliant resources with timestamps.</w:t>
      </w:r>
    </w:p>
    <w:p>
      <w:pPr>
        <w:ind w:left="360"/>
      </w:pPr>
      <w:r>
        <w:rPr>
          <w:rFonts w:ascii="Consolas" w:hAnsi="Consolas"/>
          <w:sz w:val="17"/>
        </w:rPr>
        <w:t>aws configservice get-compliance-details-by-config-rule --config-rule-name required-tags | tee evidence/config-findings.json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6 — Review `sample-security-findings.json`; prioritise by severity, exposure, asset and exploitability—not count alone.</w:t>
      </w:r>
    </w:p>
    <w:p>
      <w:pPr>
        <w:ind w:left="360"/>
      </w:pPr>
      <w:r>
        <w:rPr>
          <w:rFonts w:ascii="Consolas" w:hAnsi="Consolas"/>
          <w:sz w:val="17"/>
        </w:rPr>
        <w:t>python3 -m json.tool sample-security-findings.json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7 — Complete `REMEDIATION-REGISTER.csv` with owner, due date, chosen automation and verification.</w:t>
      </w:r>
    </w:p>
    <w:p>
      <w:pPr>
        <w:ind w:left="360"/>
      </w:pPr>
      <w:r>
        <w:rPr>
          <w:rFonts w:ascii="Consolas" w:hAnsi="Consolas"/>
          <w:sz w:val="17"/>
        </w:rPr>
        <w:t>open REMEDIATION-REGISTER.csv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8 — Document one time-bound exception with business owner, compensating control and expiry.</w:t>
      </w:r>
    </w:p>
    <w:p>
      <w:pPr>
        <w:ind w:left="360"/>
      </w:pPr>
      <w:r>
        <w:rPr>
          <w:rFonts w:ascii="Consolas" w:hAnsi="Consolas"/>
          <w:sz w:val="17"/>
        </w:rPr>
        <w:t>open EXCEPTION-RECORD.md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9 — Capture Config compliance and finding summary as JPEG evidence; run validation.</w:t>
      </w:r>
    </w:p>
    <w:p>
      <w:pPr>
        <w:ind w:left="360"/>
      </w:pPr>
      <w:r>
        <w:rPr>
          <w:rFonts w:ascii="Consolas" w:hAnsi="Consolas"/>
          <w:sz w:val="17"/>
        </w:rPr>
        <w:t>open EXPECTED-ARCHITECTURE.jpg</w:t>
        <w:br/>
        <w:t>bash validate.sh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10 — Remove intentional noncompliance and delete learner-created controls; retain the evidence files.</w:t>
      </w:r>
    </w:p>
    <w:p>
      <w:pPr>
        <w:ind w:left="360"/>
      </w:pPr>
      <w:r>
        <w:rPr>
          <w:rFonts w:ascii="Consolas" w:hAnsi="Consolas"/>
          <w:sz w:val="17"/>
        </w:rPr>
        <w:t>bash cleanup.sh | tee evidence/cleanup.txt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1"/>
      </w:pPr>
      <w:r>
        <w:rPr>
          <w:rFonts w:ascii="Arial" w:hAnsi="Arial"/>
          <w:b/>
          <w:sz w:val="21"/>
        </w:rPr>
        <w:t>Verification</w:t>
      </w:r>
    </w:p>
    <w:p>
      <w:r>
        <w:rPr>
          <w:rFonts w:ascii="Arial" w:hAnsi="Arial"/>
          <w:b w:val="0"/>
          <w:sz w:val="21"/>
        </w:rPr>
        <w:t>Required controls evaluate learner-owned resources, findings are prioritised with context, remediation has owner/SLA/verification, the exception expires, and validation emits LAB 07 PASS.</w:t>
      </w:r>
    </w:p>
    <w:p>
      <w:pPr>
        <w:pStyle w:val="Heading1"/>
      </w:pPr>
      <w:r>
        <w:rPr>
          <w:rFonts w:ascii="Arial" w:hAnsi="Arial"/>
          <w:b/>
          <w:sz w:val="21"/>
        </w:rPr>
        <w:t>Acceptance criteria</w:t>
      </w:r>
    </w:p>
    <w:p>
      <w:pPr>
        <w:pStyle w:val="ListBullet"/>
      </w:pPr>
      <w:r>
        <w:rPr>
          <w:rFonts w:ascii="Arial" w:hAnsi="Arial"/>
          <w:b w:val="0"/>
          <w:sz w:val="21"/>
        </w:rPr>
        <w:t>Scope and standard are explicit</w:t>
      </w:r>
    </w:p>
    <w:p>
      <w:pPr>
        <w:pStyle w:val="ListBullet"/>
      </w:pPr>
      <w:r>
        <w:rPr>
          <w:rFonts w:ascii="Arial" w:hAnsi="Arial"/>
          <w:b w:val="0"/>
          <w:sz w:val="21"/>
        </w:rPr>
        <w:t>Every finding has an owner</w:t>
      </w:r>
    </w:p>
    <w:p>
      <w:pPr>
        <w:pStyle w:val="ListBullet"/>
      </w:pPr>
      <w:r>
        <w:rPr>
          <w:rFonts w:ascii="Arial" w:hAnsi="Arial"/>
          <w:b w:val="0"/>
          <w:sz w:val="21"/>
        </w:rPr>
        <w:t>Exception has compensating control and expiry</w:t>
      </w:r>
    </w:p>
    <w:p>
      <w:pPr>
        <w:pStyle w:val="ListBullet"/>
      </w:pPr>
      <w:r>
        <w:rPr>
          <w:rFonts w:ascii="Arial" w:hAnsi="Arial"/>
          <w:b w:val="0"/>
          <w:sz w:val="21"/>
        </w:rPr>
        <w:t>Verification proves compliant state</w:t>
      </w:r>
    </w:p>
    <w:p>
      <w:pPr>
        <w:pStyle w:val="ListBullet"/>
      </w:pPr>
      <w:r>
        <w:rPr>
          <w:rFonts w:ascii="Arial" w:hAnsi="Arial"/>
          <w:b w:val="0"/>
          <w:sz w:val="21"/>
        </w:rPr>
        <w:t>Intentional noncompliance is removed</w:t>
      </w:r>
    </w:p>
    <w:p>
      <w:pPr>
        <w:pStyle w:val="Heading1"/>
      </w:pPr>
      <w:r>
        <w:rPr>
          <w:rFonts w:ascii="Arial" w:hAnsi="Arial"/>
          <w:b/>
          <w:sz w:val="21"/>
        </w:rPr>
        <w:t>Evidence checklist</w:t>
      </w:r>
    </w:p>
    <w:p>
      <w:r>
        <w:rPr>
          <w:rFonts w:ascii="Arial" w:hAnsi="Arial"/>
          <w:b w:val="0"/>
          <w:sz w:val="21"/>
        </w:rPr>
        <w:t>☐ Config findings</w:t>
      </w:r>
    </w:p>
    <w:p>
      <w:r>
        <w:rPr>
          <w:rFonts w:ascii="Arial" w:hAnsi="Arial"/>
          <w:b w:val="0"/>
          <w:sz w:val="21"/>
        </w:rPr>
        <w:t>☐ tagged resources export</w:t>
      </w:r>
    </w:p>
    <w:p>
      <w:r>
        <w:rPr>
          <w:rFonts w:ascii="Arial" w:hAnsi="Arial"/>
          <w:b w:val="0"/>
          <w:sz w:val="21"/>
        </w:rPr>
        <w:t>☐ completed remediation register</w:t>
      </w:r>
    </w:p>
    <w:p>
      <w:r>
        <w:rPr>
          <w:rFonts w:ascii="Arial" w:hAnsi="Arial"/>
          <w:b w:val="0"/>
          <w:sz w:val="21"/>
        </w:rPr>
        <w:t>☐ exception record</w:t>
      </w:r>
    </w:p>
    <w:p>
      <w:r>
        <w:rPr>
          <w:rFonts w:ascii="Arial" w:hAnsi="Arial"/>
          <w:b w:val="0"/>
          <w:sz w:val="21"/>
        </w:rPr>
        <w:t>☐ JPEG evidence</w:t>
      </w:r>
    </w:p>
    <w:p>
      <w:r>
        <w:rPr>
          <w:rFonts w:ascii="Arial" w:hAnsi="Arial"/>
          <w:b w:val="0"/>
          <w:sz w:val="21"/>
        </w:rPr>
        <w:t>☐ cleanup.txt</w:t>
      </w:r>
    </w:p>
    <w:p>
      <w:pPr>
        <w:pStyle w:val="Heading1"/>
      </w:pPr>
      <w:r>
        <w:rPr>
          <w:rFonts w:ascii="Arial" w:hAnsi="Arial"/>
          <w:b/>
          <w:sz w:val="21"/>
        </w:rPr>
        <w:t>Troubleshooting</w:t>
      </w:r>
    </w:p>
    <w:p>
      <w:pPr>
        <w:pStyle w:val="ListBullet"/>
      </w:pPr>
      <w:r>
        <w:rPr>
          <w:rFonts w:ascii="Arial" w:hAnsi="Arial"/>
          <w:b w:val="0"/>
          <w:sz w:val="21"/>
        </w:rPr>
        <w:t>Check identity, Region and resource ID before changing permissions.</w:t>
      </w:r>
    </w:p>
    <w:p>
      <w:pPr>
        <w:pStyle w:val="ListBullet"/>
      </w:pPr>
      <w:r>
        <w:rPr>
          <w:rFonts w:ascii="Arial" w:hAnsi="Arial"/>
          <w:b w:val="0"/>
          <w:sz w:val="21"/>
        </w:rPr>
        <w:t>Resolve every REPLACE placeholder.</w:t>
      </w:r>
    </w:p>
    <w:p>
      <w:pPr>
        <w:pStyle w:val="ListBullet"/>
      </w:pPr>
      <w:r>
        <w:rPr>
          <w:rFonts w:ascii="Arial" w:hAnsi="Arial"/>
          <w:b w:val="0"/>
          <w:sz w:val="21"/>
        </w:rPr>
        <w:t>Preserve error output as evidence.</w:t>
      </w:r>
    </w:p>
    <w:p>
      <w:pPr>
        <w:pStyle w:val="ListBullet"/>
      </w:pPr>
      <w:r>
        <w:rPr>
          <w:rFonts w:ascii="Arial" w:hAnsi="Arial"/>
          <w:b w:val="0"/>
          <w:sz w:val="21"/>
        </w:rPr>
        <w:t>Escalate cleanup failures immediately.</w:t>
      </w:r>
    </w:p>
    <w:sectPr w:rsidR="00FC693F" w:rsidRPr="0006063C" w:rsidSect="00034616">
      <w:pgSz w:w="12240" w:h="15840"/>
      <w:pgMar w:top="144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