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09</w:t>
        <w:br/>
        <w:t>Troubleshoot a VPC Connectivity Path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A private application instance is healthy locally but cannot reach an approved service endpoint after a network change.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K2 and A2 by isolating a failed request through DNS, routes, security groups, network ACLs, target health and VPC Flow Logs.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VPC diagnostic worksheet, reachability/flow-log evidence, corrected network control and before/after result.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VPC · Reachability Analyzer · Flow Logs · Security Groups · NACLs · Endpoints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Review `PATH-DIAGRAM.md`; write source, destination, protocol, port, expected route and success response.</w:t>
      </w:r>
    </w:p>
    <w:p>
      <w:pPr>
        <w:ind w:left="360"/>
      </w:pPr>
      <w:r>
        <w:rPr>
          <w:rFonts w:ascii="Consolas" w:hAnsi="Consolas"/>
          <w:sz w:val="17"/>
        </w:rPr>
        <w:t>open PATH-DIAGRAM.md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Run `diagnostics.sh` with the learner source and destination; retain every command result even when it fails.</w:t>
      </w:r>
    </w:p>
    <w:p>
      <w:pPr>
        <w:ind w:left="360"/>
      </w:pPr>
      <w:r>
        <w:rPr>
          <w:rFonts w:ascii="Consolas" w:hAnsi="Consolas"/>
          <w:sz w:val="17"/>
        </w:rPr>
        <w:t>bash diagnostics.sh REPLACE_SOURCE_ENI REPLACE_DESTINATION_IP | tee evidence/diagnostics.txt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Confirm DNS resolution and compare the returned address with the intended private/public path.</w:t>
      </w:r>
    </w:p>
    <w:p>
      <w:pPr>
        <w:ind w:left="360"/>
      </w:pPr>
      <w:r>
        <w:rPr>
          <w:rFonts w:ascii="Consolas" w:hAnsi="Consolas"/>
          <w:sz w:val="17"/>
        </w:rPr>
        <w:t>dig +short REPLACE_HOSTNAME | tee evidence/dns.txt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Inspect source and destination subnet route tables using longest-prefix-match reasoning.</w:t>
      </w:r>
    </w:p>
    <w:p>
      <w:pPr>
        <w:ind w:left="360"/>
      </w:pPr>
      <w:r>
        <w:rPr>
          <w:rFonts w:ascii="Consolas" w:hAnsi="Consolas"/>
          <w:sz w:val="17"/>
        </w:rPr>
        <w:t>aws ec2 describe-route-tables --filters Name=association.subnet-id,Values=REPLACE_SUBNET_ID | tee evidence/routes.json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Inspect security-group rules in both directions and state whether return traffic is automatically allowed.</w:t>
      </w:r>
    </w:p>
    <w:p>
      <w:pPr>
        <w:ind w:left="360"/>
      </w:pPr>
      <w:r>
        <w:rPr>
          <w:rFonts w:ascii="Consolas" w:hAnsi="Consolas"/>
          <w:sz w:val="17"/>
        </w:rPr>
        <w:t>aws ec2 describe-security-groups --group-ids REPLACE_SG_ID | tee evidence/security-group.json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Inspect network ACL rules by number in both directions, including ephemeral return ports.</w:t>
      </w:r>
    </w:p>
    <w:p>
      <w:pPr>
        <w:ind w:left="360"/>
      </w:pPr>
      <w:r>
        <w:rPr>
          <w:rFonts w:ascii="Consolas" w:hAnsi="Consolas"/>
          <w:sz w:val="17"/>
        </w:rPr>
        <w:t>aws ec2 describe-network-acls --filters Name=association.subnet-id,Values=REPLACE_SUBNET_ID | tee evidence/nacl.json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Create or run Reachability Analyzer where supported and record the first blocking component.</w:t>
      </w:r>
    </w:p>
    <w:p>
      <w:pPr>
        <w:ind w:left="360"/>
      </w:pPr>
      <w:r>
        <w:rPr>
          <w:rFonts w:ascii="Consolas" w:hAnsi="Consolas"/>
          <w:sz w:val="17"/>
        </w:rPr>
        <w:t>aws ec2 start-network-insights-analysis --network-insights-path-id REPLACE_PATH_ID | tee evidence/reachability.json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Query Flow Logs for ACCEPT/REJECT evidence correlated to source, destination, port and UTC time.</w:t>
      </w:r>
    </w:p>
    <w:p>
      <w:pPr>
        <w:ind w:left="360"/>
      </w:pPr>
      <w:r>
        <w:rPr>
          <w:rFonts w:ascii="Consolas" w:hAnsi="Consolas"/>
          <w:sz w:val="17"/>
        </w:rPr>
        <w:t>open FLOW-LOG-QUERY.txt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Change only the identified learner-owned control; repeat the same test and record before/after evidence.</w:t>
      </w:r>
    </w:p>
    <w:p>
      <w:pPr>
        <w:ind w:left="360"/>
      </w:pPr>
      <w:r>
        <w:rPr>
          <w:rFonts w:ascii="Consolas" w:hAnsi="Consolas"/>
          <w:sz w:val="17"/>
        </w:rPr>
        <w:t>open DIAGNOSTIC-REPORT.md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Capture route, rule and result as JPEG evidence; run validation and restore temporary changes.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  <w:br/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report follows the path in order, names the first failed boundary with evidence, changes one learner-owned control, verifies success with the same test, and validation emits LAB 09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Source/destination/protocol/port explicit</w:t>
      </w:r>
    </w:p>
    <w:p>
      <w:pPr>
        <w:pStyle w:val="ListBullet"/>
      </w:pPr>
      <w:r>
        <w:rPr>
          <w:rFonts w:ascii="Arial" w:hAnsi="Arial"/>
          <w:b w:val="0"/>
          <w:sz w:val="21"/>
        </w:rPr>
        <w:t>Route and policy evaluated separately</w:t>
      </w:r>
    </w:p>
    <w:p>
      <w:pPr>
        <w:pStyle w:val="ListBullet"/>
      </w:pPr>
      <w:r>
        <w:rPr>
          <w:rFonts w:ascii="Arial" w:hAnsi="Arial"/>
          <w:b w:val="0"/>
          <w:sz w:val="21"/>
        </w:rPr>
        <w:t>Stateful/stateless return path explained</w:t>
      </w:r>
    </w:p>
    <w:p>
      <w:pPr>
        <w:pStyle w:val="ListBullet"/>
      </w:pPr>
      <w:r>
        <w:rPr>
          <w:rFonts w:ascii="Arial" w:hAnsi="Arial"/>
          <w:b w:val="0"/>
          <w:sz w:val="21"/>
        </w:rPr>
        <w:t>One variable changed</w:t>
      </w:r>
    </w:p>
    <w:p>
      <w:pPr>
        <w:pStyle w:val="ListBullet"/>
      </w:pPr>
      <w:r>
        <w:rPr>
          <w:rFonts w:ascii="Arial" w:hAnsi="Arial"/>
          <w:b w:val="0"/>
          <w:sz w:val="21"/>
        </w:rPr>
        <w:t>Before/after test is identical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DNS result</w:t>
      </w:r>
    </w:p>
    <w:p>
      <w:r>
        <w:rPr>
          <w:rFonts w:ascii="Arial" w:hAnsi="Arial"/>
          <w:b w:val="0"/>
          <w:sz w:val="21"/>
        </w:rPr>
        <w:t>☐ route tables</w:t>
      </w:r>
    </w:p>
    <w:p>
      <w:r>
        <w:rPr>
          <w:rFonts w:ascii="Arial" w:hAnsi="Arial"/>
          <w:b w:val="0"/>
          <w:sz w:val="21"/>
        </w:rPr>
        <w:t>☐ security-group and NACL exports</w:t>
      </w:r>
    </w:p>
    <w:p>
      <w:r>
        <w:rPr>
          <w:rFonts w:ascii="Arial" w:hAnsi="Arial"/>
          <w:b w:val="0"/>
          <w:sz w:val="21"/>
        </w:rPr>
        <w:t>☐ reachability analysis</w:t>
      </w:r>
    </w:p>
    <w:p>
      <w:r>
        <w:rPr>
          <w:rFonts w:ascii="Arial" w:hAnsi="Arial"/>
          <w:b w:val="0"/>
          <w:sz w:val="21"/>
        </w:rPr>
        <w:t>☐ Flow Log query</w:t>
      </w:r>
    </w:p>
    <w:p>
      <w:r>
        <w:rPr>
          <w:rFonts w:ascii="Arial" w:hAnsi="Arial"/>
          <w:b w:val="0"/>
          <w:sz w:val="21"/>
        </w:rPr>
        <w:t>☐ completed diagnostic report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