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EB"/>
          <w:sz w:val="32"/>
        </w:rPr>
        <w:t>TERTIARY INFOTECH ACADEMY</w:t>
      </w:r>
    </w:p>
    <w:p>
      <w:pPr>
        <w:jc w:val="center"/>
      </w:pPr>
      <w:r>
        <w:rPr>
          <w:rFonts w:ascii="Arial" w:hAnsi="Arial"/>
          <w:b/>
          <w:sz w:val="48"/>
        </w:rPr>
        <w:t>LAB 10</w:t>
        <w:br/>
        <w:t>Operate DNS and Content-Delivery Failover</w:t>
      </w:r>
    </w:p>
    <w:p>
      <w:pPr>
        <w:jc w:val="center"/>
      </w:pPr>
      <w:r>
        <w:rPr>
          <w:sz w:val="22"/>
        </w:rPr>
        <w:t>AWS Certified SysOps Administrator Associate Training</w:t>
        <w:br/>
        <w:t>TGS-2024051413 · Version v5.0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1"/>
        </w:rPr>
        <w:t>Scenario</w:t>
      </w:r>
    </w:p>
    <w:p>
      <w:r>
        <w:rPr>
          <w:rFonts w:ascii="Arial" w:hAnsi="Arial"/>
          <w:b w:val="0"/>
          <w:sz w:val="21"/>
        </w:rPr>
        <w:t>Northstar Retail needs a controlled failover path for a public web endpoint and must distinguish DNS, origin and cache effects during an incident.</w:t>
      </w:r>
    </w:p>
    <w:p>
      <w:pPr>
        <w:pStyle w:val="Heading1"/>
      </w:pPr>
      <w:r>
        <w:rPr>
          <w:rFonts w:ascii="Arial" w:hAnsi="Arial"/>
          <w:b/>
          <w:sz w:val="21"/>
        </w:rPr>
        <w:t>Objective</w:t>
      </w:r>
    </w:p>
    <w:p>
      <w:r>
        <w:rPr>
          <w:rFonts w:ascii="Arial" w:hAnsi="Arial"/>
          <w:b w:val="0"/>
          <w:sz w:val="21"/>
        </w:rPr>
        <w:t>Apply K2 and A2 by configuring health-aware DNS and CloudFront behaviour, then proving client-visible routing and cache outcomes.</w:t>
      </w:r>
    </w:p>
    <w:p>
      <w:pPr>
        <w:pStyle w:val="Heading1"/>
      </w:pPr>
      <w:r>
        <w:rPr>
          <w:rFonts w:ascii="Arial" w:hAnsi="Arial"/>
          <w:b/>
          <w:sz w:val="21"/>
        </w:rPr>
        <w:t>Deliverable</w:t>
      </w:r>
    </w:p>
    <w:p>
      <w:r>
        <w:rPr>
          <w:rFonts w:ascii="Arial" w:hAnsi="Arial"/>
          <w:b w:val="0"/>
          <w:sz w:val="21"/>
        </w:rPr>
        <w:t>A Route 53 health-check definition, failover record plan, CloudFront operations checklist and measured failover report.</w:t>
      </w:r>
    </w:p>
    <w:p>
      <w:pPr>
        <w:pStyle w:val="Heading1"/>
      </w:pPr>
      <w:r>
        <w:rPr>
          <w:rFonts w:ascii="Arial" w:hAnsi="Arial"/>
          <w:b/>
          <w:sz w:val="21"/>
        </w:rPr>
        <w:t>Services and tools</w:t>
      </w:r>
    </w:p>
    <w:p>
      <w:r>
        <w:rPr>
          <w:rFonts w:ascii="Arial" w:hAnsi="Arial"/>
          <w:b w:val="0"/>
          <w:sz w:val="21"/>
        </w:rPr>
        <w:t>Route 53 · Health Checks · CloudFront · S3 · CloudWatch</w:t>
      </w:r>
    </w:p>
    <w:p>
      <w:pPr>
        <w:pStyle w:val="Heading1"/>
      </w:pPr>
      <w:r>
        <w:rPr>
          <w:rFonts w:ascii="Arial" w:hAnsi="Arial"/>
          <w:b/>
          <w:sz w:val="21"/>
        </w:rPr>
        <w:t>Safety and cost boundary</w:t>
      </w:r>
    </w:p>
    <w:p>
      <w:pPr>
        <w:pStyle w:val="ListBullet"/>
      </w:pPr>
      <w:r>
        <w:rPr>
          <w:rFonts w:ascii="Arial" w:hAnsi="Arial"/>
          <w:b w:val="0"/>
          <w:sz w:val="21"/>
        </w:rPr>
        <w:t>Use only the trainer-authorised learner account and Region.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Replace placeholders and tag learner-owned resources.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Capture evidence before cleanup.</w:t>
      </w:r>
    </w:p>
    <w:p>
      <w:pPr>
        <w:pStyle w:val="ListBullet"/>
      </w:pPr>
      <w:r>
        <w:rPr>
          <w:rFonts w:ascii="Arial" w:hAnsi="Arial"/>
          <w:b w:val="0"/>
          <w:sz w:val="21"/>
        </w:rPr>
        <w:t>Verify deletion and report retained chargeable resources.</w:t>
      </w:r>
    </w:p>
    <w:p>
      <w:pPr>
        <w:pStyle w:val="Heading1"/>
      </w:pPr>
      <w:r>
        <w:rPr>
          <w:rFonts w:ascii="Arial" w:hAnsi="Arial"/>
          <w:b/>
          <w:sz w:val="21"/>
        </w:rPr>
        <w:t>Detailed procedure</w:t>
      </w:r>
    </w:p>
    <w:p>
      <w:pPr>
        <w:pStyle w:val="Heading2"/>
      </w:pPr>
      <w:r>
        <w:rPr>
          <w:rFonts w:ascii="Arial" w:hAnsi="Arial"/>
          <w:b/>
          <w:sz w:val="21"/>
        </w:rPr>
        <w:t>Step 1 — Review `DNS-FAILOVER-PLAN.md`; record hosted zone, primary/secondary endpoints, TTL, health criteria and rollback authority.</w:t>
      </w:r>
    </w:p>
    <w:p>
      <w:pPr>
        <w:ind w:left="360"/>
      </w:pPr>
      <w:r>
        <w:rPr>
          <w:rFonts w:ascii="Consolas" w:hAnsi="Consolas"/>
          <w:sz w:val="17"/>
        </w:rPr>
        <w:t>open DNS-FAILOVER-PLAN.md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2 — Validate `health-check.json`; replace the trainer-provided test endpoint and unique caller reference.</w:t>
      </w:r>
    </w:p>
    <w:p>
      <w:pPr>
        <w:ind w:left="360"/>
      </w:pPr>
      <w:r>
        <w:rPr>
          <w:rFonts w:ascii="Consolas" w:hAnsi="Consolas"/>
          <w:sz w:val="17"/>
        </w:rPr>
        <w:t>python3 -m json.tool health-check.json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3 — Create the health check and confirm CloudWatch health status before associating any record.</w:t>
      </w:r>
    </w:p>
    <w:p>
      <w:pPr>
        <w:ind w:left="360"/>
      </w:pPr>
      <w:r>
        <w:rPr>
          <w:rFonts w:ascii="Consolas" w:hAnsi="Consolas"/>
          <w:sz w:val="17"/>
        </w:rPr>
        <w:t>aws route53 create-health-check --caller-reference SysOps-Lab10-REPLACE_SUFFIX --health-check-config file://health-check.json | tee evidence/health-check.json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4 — Review `failover-records.json`; confirm PRIMARY and SECONDARY identifiers, evaluate-target-health setting and TTL.</w:t>
      </w:r>
    </w:p>
    <w:p>
      <w:pPr>
        <w:ind w:left="360"/>
      </w:pPr>
      <w:r>
        <w:rPr>
          <w:rFonts w:ascii="Consolas" w:hAnsi="Consolas"/>
          <w:sz w:val="17"/>
        </w:rPr>
        <w:t>python3 -m json.tool failover-records.json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5 — Apply the trainer-approved learner-zone record change and record the change ID.</w:t>
      </w:r>
    </w:p>
    <w:p>
      <w:pPr>
        <w:ind w:left="360"/>
      </w:pPr>
      <w:r>
        <w:rPr>
          <w:rFonts w:ascii="Consolas" w:hAnsi="Consolas"/>
          <w:sz w:val="17"/>
        </w:rPr>
        <w:t>aws route53 change-resource-record-sets --hosted-zone-id REPLACE_ZONE_ID --change-batch file://failover-records.json | tee evidence/record-change.json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6 — Query the name repeatedly from two resolvers; record answers and TTL before failure injection.</w:t>
      </w:r>
    </w:p>
    <w:p>
      <w:pPr>
        <w:ind w:left="360"/>
      </w:pPr>
      <w:r>
        <w:rPr>
          <w:rFonts w:ascii="Consolas" w:hAnsi="Consolas"/>
          <w:sz w:val="17"/>
        </w:rPr>
        <w:t>for n in {1..5}; do date -u +%FT%TZ; dig +noall +answer REPLACE_NAME; sleep 5; done | tee evidence/dns-before.txt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7 — Run the bounded primary failure approved by the trainer; measure health-check change and client answer transition.</w:t>
      </w:r>
    </w:p>
    <w:p>
      <w:pPr>
        <w:ind w:left="360"/>
      </w:pPr>
      <w:r>
        <w:rPr>
          <w:rFonts w:ascii="Consolas" w:hAnsi="Consolas"/>
          <w:sz w:val="17"/>
        </w:rPr>
        <w:t>for n in {1..20}; do date -u +%FT%TZ; dig +short REPLACE_NAME; sleep 10; done | tee evidence/dns-failover.txt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8 — Inspect CloudFront response headers for cache status, age and request ID; distinguish cached content from origin recovery.</w:t>
      </w:r>
    </w:p>
    <w:p>
      <w:pPr>
        <w:ind w:left="360"/>
      </w:pPr>
      <w:r>
        <w:rPr>
          <w:rFonts w:ascii="Consolas" w:hAnsi="Consolas"/>
          <w:sz w:val="17"/>
        </w:rPr>
        <w:t>curl -I https://REPLACE_DISTRIBUTION/ | tee evidence/cloudfront-headers.txt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9 — Complete `FAILOVER-REPORT.md` with observed TTL, health transition, client transition and limitation.</w:t>
      </w:r>
    </w:p>
    <w:p>
      <w:pPr>
        <w:ind w:left="360"/>
      </w:pPr>
      <w:r>
        <w:rPr>
          <w:rFonts w:ascii="Consolas" w:hAnsi="Consolas"/>
          <w:sz w:val="17"/>
        </w:rPr>
        <w:t>open FAILOVER-REPORT.md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10 — Capture DNS health and CloudFront evidence as JPEGs; run validation and restore the baseline.</w:t>
      </w:r>
    </w:p>
    <w:p>
      <w:pPr>
        <w:ind w:left="360"/>
      </w:pPr>
      <w:r>
        <w:rPr>
          <w:rFonts w:ascii="Consolas" w:hAnsi="Consolas"/>
          <w:sz w:val="17"/>
        </w:rPr>
        <w:t>open EXPECTED-ARCHITECTURE.jpg</w:t>
        <w:br/>
        <w:t>bash validate.sh</w:t>
        <w:br/>
        <w:t>bash cleanup.sh | tee evidence/cleanup.txt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1"/>
      </w:pPr>
      <w:r>
        <w:rPr>
          <w:rFonts w:ascii="Arial" w:hAnsi="Arial"/>
          <w:b/>
          <w:sz w:val="21"/>
        </w:rPr>
        <w:t>Verification</w:t>
      </w:r>
    </w:p>
    <w:p>
      <w:r>
        <w:rPr>
          <w:rFonts w:ascii="Arial" w:hAnsi="Arial"/>
          <w:b w:val="0"/>
          <w:sz w:val="21"/>
        </w:rPr>
        <w:t>Health and record evidence are linked, failover timing is measured rather than assumed, cache and DNS effects are distinguished, baseline is restored, and validation emits LAB 10 PASS.</w:t>
      </w:r>
    </w:p>
    <w:p>
      <w:pPr>
        <w:pStyle w:val="Heading1"/>
      </w:pPr>
      <w:r>
        <w:rPr>
          <w:rFonts w:ascii="Arial" w:hAnsi="Arial"/>
          <w:b/>
          <w:sz w:val="21"/>
        </w:rPr>
        <w:t>Acceptance criteria</w:t>
      </w:r>
    </w:p>
    <w:p>
      <w:pPr>
        <w:pStyle w:val="ListBullet"/>
      </w:pPr>
      <w:r>
        <w:rPr>
          <w:rFonts w:ascii="Arial" w:hAnsi="Arial"/>
          <w:b w:val="0"/>
          <w:sz w:val="21"/>
        </w:rPr>
        <w:t>Uses learner-owned hosted zone</w:t>
      </w:r>
    </w:p>
    <w:p>
      <w:pPr>
        <w:pStyle w:val="ListBullet"/>
      </w:pPr>
      <w:r>
        <w:rPr>
          <w:rFonts w:ascii="Arial" w:hAnsi="Arial"/>
          <w:b w:val="0"/>
          <w:sz w:val="21"/>
        </w:rPr>
        <w:t>Primary and secondary identifiers are explicit</w:t>
      </w:r>
    </w:p>
    <w:p>
      <w:pPr>
        <w:pStyle w:val="ListBullet"/>
      </w:pPr>
      <w:r>
        <w:rPr>
          <w:rFonts w:ascii="Arial" w:hAnsi="Arial"/>
          <w:b w:val="0"/>
          <w:sz w:val="21"/>
        </w:rPr>
        <w:t>TTL is measured</w:t>
      </w:r>
    </w:p>
    <w:p>
      <w:pPr>
        <w:pStyle w:val="ListBullet"/>
      </w:pPr>
      <w:r>
        <w:rPr>
          <w:rFonts w:ascii="Arial" w:hAnsi="Arial"/>
          <w:b w:val="0"/>
          <w:sz w:val="21"/>
        </w:rPr>
        <w:t>Cache response is distinguished from origin</w:t>
      </w:r>
    </w:p>
    <w:p>
      <w:pPr>
        <w:pStyle w:val="ListBullet"/>
      </w:pPr>
      <w:r>
        <w:rPr>
          <w:rFonts w:ascii="Arial" w:hAnsi="Arial"/>
          <w:b w:val="0"/>
          <w:sz w:val="21"/>
        </w:rPr>
        <w:t>Rollback restores baseline</w:t>
      </w:r>
    </w:p>
    <w:p>
      <w:pPr>
        <w:pStyle w:val="Heading1"/>
      </w:pPr>
      <w:r>
        <w:rPr>
          <w:rFonts w:ascii="Arial" w:hAnsi="Arial"/>
          <w:b/>
          <w:sz w:val="21"/>
        </w:rPr>
        <w:t>Evidence checklist</w:t>
      </w:r>
    </w:p>
    <w:p>
      <w:r>
        <w:rPr>
          <w:rFonts w:ascii="Arial" w:hAnsi="Arial"/>
          <w:b w:val="0"/>
          <w:sz w:val="21"/>
        </w:rPr>
        <w:t>☐ Health check</w:t>
      </w:r>
    </w:p>
    <w:p>
      <w:r>
        <w:rPr>
          <w:rFonts w:ascii="Arial" w:hAnsi="Arial"/>
          <w:b w:val="0"/>
          <w:sz w:val="21"/>
        </w:rPr>
        <w:t>☐ record change</w:t>
      </w:r>
    </w:p>
    <w:p>
      <w:r>
        <w:rPr>
          <w:rFonts w:ascii="Arial" w:hAnsi="Arial"/>
          <w:b w:val="0"/>
          <w:sz w:val="21"/>
        </w:rPr>
        <w:t>☐ DNS before/failover results</w:t>
      </w:r>
    </w:p>
    <w:p>
      <w:r>
        <w:rPr>
          <w:rFonts w:ascii="Arial" w:hAnsi="Arial"/>
          <w:b w:val="0"/>
          <w:sz w:val="21"/>
        </w:rPr>
        <w:t>☐ CloudFront headers</w:t>
      </w:r>
    </w:p>
    <w:p>
      <w:r>
        <w:rPr>
          <w:rFonts w:ascii="Arial" w:hAnsi="Arial"/>
          <w:b w:val="0"/>
          <w:sz w:val="21"/>
        </w:rPr>
        <w:t>☐ completed failover report</w:t>
      </w:r>
    </w:p>
    <w:p>
      <w:r>
        <w:rPr>
          <w:rFonts w:ascii="Arial" w:hAnsi="Arial"/>
          <w:b w:val="0"/>
          <w:sz w:val="21"/>
        </w:rPr>
        <w:t>☐ JPEG evidence</w:t>
      </w:r>
    </w:p>
    <w:p>
      <w:r>
        <w:rPr>
          <w:rFonts w:ascii="Arial" w:hAnsi="Arial"/>
          <w:b w:val="0"/>
          <w:sz w:val="21"/>
        </w:rPr>
        <w:t>☐ cleanup.txt</w:t>
      </w:r>
    </w:p>
    <w:p>
      <w:pPr>
        <w:pStyle w:val="Heading1"/>
      </w:pPr>
      <w:r>
        <w:rPr>
          <w:rFonts w:ascii="Arial" w:hAnsi="Arial"/>
          <w:b/>
          <w:sz w:val="21"/>
        </w:rPr>
        <w:t>Troubleshooting</w:t>
      </w:r>
    </w:p>
    <w:p>
      <w:pPr>
        <w:pStyle w:val="ListBullet"/>
      </w:pPr>
      <w:r>
        <w:rPr>
          <w:rFonts w:ascii="Arial" w:hAnsi="Arial"/>
          <w:b w:val="0"/>
          <w:sz w:val="21"/>
        </w:rPr>
        <w:t>Check identity, Region and resource ID before changing permissions.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Resolve every REPLACE placeholder.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Preserve error output as evidence.</w:t>
      </w:r>
    </w:p>
    <w:p>
      <w:pPr>
        <w:pStyle w:val="ListBullet"/>
      </w:pPr>
      <w:r>
        <w:rPr>
          <w:rFonts w:ascii="Arial" w:hAnsi="Arial"/>
          <w:b w:val="0"/>
          <w:sz w:val="21"/>
        </w:rPr>
        <w:t>Escalate cleanup failures immediately.</w:t>
      </w:r>
    </w:p>
    <w:sectPr w:rsidR="00FC693F" w:rsidRPr="0006063C" w:rsidSect="00034616">
      <w:pgSz w:w="12240" w:h="15840"/>
      <w:pgMar w:top="144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