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32"/>
        </w:rPr>
        <w:t>TERTIARY INFOTECH ACADEMY</w:t>
      </w:r>
    </w:p>
    <w:p>
      <w:pPr>
        <w:jc w:val="center"/>
      </w:pPr>
      <w:r>
        <w:rPr>
          <w:rFonts w:ascii="Arial" w:hAnsi="Arial"/>
          <w:b/>
          <w:sz w:val="48"/>
        </w:rPr>
        <w:t>LAB 11</w:t>
        <w:br/>
        <w:t>Diagnose Storage and Database Performance, Then Recover</w:t>
      </w:r>
    </w:p>
    <w:p>
      <w:pPr>
        <w:jc w:val="center"/>
      </w:pPr>
      <w:r>
        <w:rPr>
          <w:sz w:val="22"/>
        </w:rPr>
        <w:t>AWS Certified SysOps Administrator Associate Training</w:t>
        <w:br/>
        <w:t>TGS-2024051413 · Version v5.0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sz w:val="21"/>
        </w:rPr>
        <w:t>Scenario</w:t>
      </w:r>
    </w:p>
    <w:p>
      <w:r>
        <w:rPr>
          <w:rFonts w:ascii="Arial" w:hAnsi="Arial"/>
          <w:b w:val="0"/>
          <w:sz w:val="21"/>
        </w:rPr>
        <w:t>A transactional workload shows rising latency after a change, and the operator must determine whether compute, storage, connections or query behaviour is the bottleneck.</w:t>
      </w:r>
    </w:p>
    <w:p>
      <w:pPr>
        <w:pStyle w:val="Heading1"/>
      </w:pPr>
      <w:r>
        <w:rPr>
          <w:rFonts w:ascii="Arial" w:hAnsi="Arial"/>
          <w:b/>
          <w:sz w:val="21"/>
        </w:rPr>
        <w:t>Objective</w:t>
      </w:r>
    </w:p>
    <w:p>
      <w:r>
        <w:rPr>
          <w:rFonts w:ascii="Arial" w:hAnsi="Arial"/>
          <w:b w:val="0"/>
          <w:sz w:val="21"/>
        </w:rPr>
        <w:t>Apply K1, K4, A1, A4 and A6 by correlating EBS/RDS signals, selecting a safe change and validating data recovery.</w:t>
      </w:r>
    </w:p>
    <w:p>
      <w:pPr>
        <w:pStyle w:val="Heading1"/>
      </w:pPr>
      <w:r>
        <w:rPr>
          <w:rFonts w:ascii="Arial" w:hAnsi="Arial"/>
          <w:b/>
          <w:sz w:val="21"/>
        </w:rPr>
        <w:t>Deliverable</w:t>
      </w:r>
    </w:p>
    <w:p>
      <w:r>
        <w:rPr>
          <w:rFonts w:ascii="Arial" w:hAnsi="Arial"/>
          <w:b w:val="0"/>
          <w:sz w:val="21"/>
        </w:rPr>
        <w:t>A metric analysis, bottleneck decision, change plan, restore checklist and database recovery evidence.</w:t>
      </w:r>
    </w:p>
    <w:p>
      <w:pPr>
        <w:pStyle w:val="Heading1"/>
      </w:pPr>
      <w:r>
        <w:rPr>
          <w:rFonts w:ascii="Arial" w:hAnsi="Arial"/>
          <w:b/>
          <w:sz w:val="21"/>
        </w:rPr>
        <w:t>Services and tools</w:t>
      </w:r>
    </w:p>
    <w:p>
      <w:r>
        <w:rPr>
          <w:rFonts w:ascii="Arial" w:hAnsi="Arial"/>
          <w:b w:val="0"/>
          <w:sz w:val="21"/>
        </w:rPr>
        <w:t>CloudWatch · EBS · RDS · Performance Insights · AWS Backup</w:t>
      </w:r>
    </w:p>
    <w:p>
      <w:pPr>
        <w:pStyle w:val="Heading1"/>
      </w:pPr>
      <w:r>
        <w:rPr>
          <w:rFonts w:ascii="Arial" w:hAnsi="Arial"/>
          <w:b/>
          <w:sz w:val="21"/>
        </w:rPr>
        <w:t>Safety and cost boundary</w:t>
      </w:r>
    </w:p>
    <w:p>
      <w:pPr>
        <w:pStyle w:val="ListBullet"/>
      </w:pPr>
      <w:r>
        <w:rPr>
          <w:rFonts w:ascii="Arial" w:hAnsi="Arial"/>
          <w:b w:val="0"/>
          <w:sz w:val="21"/>
        </w:rPr>
        <w:t>Use only the trainer-authorised learner account and Region.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Replace placeholders and tag learner-owned resources.</w:t>
      </w:r>
    </w:p>
    <w:p>
      <w:pPr>
        <w:pStyle w:val="ListBullet"/>
      </w:pPr>
      <w:r>
        <w:rPr>
          <w:rFonts w:ascii="Arial" w:hAnsi="Arial"/>
          <w:b w:val="0"/>
          <w:sz w:val="21"/>
        </w:rPr>
        <w:t>Capture evidence before cleanup.</w:t>
      </w:r>
    </w:p>
    <w:p>
      <w:pPr>
        <w:pStyle w:val="ListBullet"/>
      </w:pPr>
      <w:r>
        <w:rPr>
          <w:rFonts w:ascii="Arial" w:hAnsi="Arial"/>
          <w:b w:val="0"/>
          <w:sz w:val="21"/>
        </w:rPr>
        <w:t>Verify deletion and report retained chargeable resources.</w:t>
      </w:r>
    </w:p>
    <w:p>
      <w:pPr>
        <w:pStyle w:val="Heading1"/>
      </w:pPr>
      <w:r>
        <w:rPr>
          <w:rFonts w:ascii="Arial" w:hAnsi="Arial"/>
          <w:b/>
          <w:sz w:val="21"/>
        </w:rPr>
        <w:t>Detailed procedure</w:t>
      </w:r>
    </w:p>
    <w:p>
      <w:pPr>
        <w:pStyle w:val="Heading2"/>
      </w:pPr>
      <w:r>
        <w:rPr>
          <w:rFonts w:ascii="Arial" w:hAnsi="Arial"/>
          <w:b/>
          <w:sz w:val="21"/>
        </w:rPr>
        <w:t>Step 1 — Open `data/metrics.csv`; define units, timestamps and expected baseline before calculating any conclusion.</w:t>
      </w:r>
    </w:p>
    <w:p>
      <w:pPr>
        <w:ind w:left="360"/>
      </w:pPr>
      <w:r>
        <w:rPr>
          <w:rFonts w:ascii="Consolas" w:hAnsi="Consolas"/>
          <w:sz w:val="17"/>
        </w:rPr>
        <w:t>column -s, -t data/metrics.csv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2 — Run `analyse_metrics.py`; inspect the output ranking and confirm the highest deviation is reproducible.</w:t>
      </w:r>
    </w:p>
    <w:p>
      <w:pPr>
        <w:ind w:left="360"/>
      </w:pPr>
      <w:r>
        <w:rPr>
          <w:rFonts w:ascii="Consolas" w:hAnsi="Consolas"/>
          <w:sz w:val="17"/>
        </w:rPr>
        <w:t>python3 analyse_metrics.py | tee evidence/metric-analysis.txt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3 — Compare CPU, EBS queue, IOPS, throughput, connections and latency in `BOTTLENECK-DECISION.md`.</w:t>
      </w:r>
    </w:p>
    <w:p>
      <w:pPr>
        <w:ind w:left="360"/>
      </w:pPr>
      <w:r>
        <w:rPr>
          <w:rFonts w:ascii="Consolas" w:hAnsi="Consolas"/>
          <w:sz w:val="17"/>
        </w:rPr>
        <w:t>open BOTTLENECK-DECISION.md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4 — Inspect the learner RDS configuration and CloudWatch metrics for the same interval where available.</w:t>
      </w:r>
    </w:p>
    <w:p>
      <w:pPr>
        <w:ind w:left="360"/>
      </w:pPr>
      <w:r>
        <w:rPr>
          <w:rFonts w:ascii="Consolas" w:hAnsi="Consolas"/>
          <w:sz w:val="17"/>
        </w:rPr>
        <w:t>aws rds describe-db-instances --db-instance-identifier REPLACE_DB --output json | tee evidence/rds-config.json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5 — Review Performance Insights or database-engine evidence for waits, slow statements or locks; record limitations if unavailable.</w:t>
      </w:r>
    </w:p>
    <w:p>
      <w:pPr>
        <w:ind w:left="360"/>
      </w:pPr>
      <w:r>
        <w:rPr>
          <w:rFonts w:ascii="Consolas" w:hAnsi="Consolas"/>
          <w:sz w:val="17"/>
        </w:rPr>
        <w:t>open QUERY-EVIDENCE.md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6 — Propose one reversible action with risk, owner, expected signal and rollback; do not change multiple variables.</w:t>
      </w:r>
    </w:p>
    <w:p>
      <w:pPr>
        <w:ind w:left="360"/>
      </w:pPr>
      <w:r>
        <w:rPr>
          <w:rFonts w:ascii="Consolas" w:hAnsi="Consolas"/>
          <w:sz w:val="17"/>
        </w:rPr>
        <w:t>open CHANGE-PLAN.md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7 — Create a snapshot or approved recovery point and record its timestamp and status.</w:t>
      </w:r>
    </w:p>
    <w:p>
      <w:pPr>
        <w:ind w:left="360"/>
      </w:pPr>
      <w:r>
        <w:rPr>
          <w:rFonts w:ascii="Consolas" w:hAnsi="Consolas"/>
          <w:sz w:val="17"/>
        </w:rPr>
        <w:t>aws rds create-db-snapshot --db-instance-identifier REPLACE_DB --db-snapshot-identifier sysops-lab11-REPLACE_SUFFIX | tee evidence/snapshot.json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8 — Restore to an isolated learner identifier and verify engine status and a trainer-provided data check.</w:t>
      </w:r>
    </w:p>
    <w:p>
      <w:pPr>
        <w:ind w:left="360"/>
      </w:pPr>
      <w:r>
        <w:rPr>
          <w:rFonts w:ascii="Consolas" w:hAnsi="Consolas"/>
          <w:sz w:val="17"/>
        </w:rPr>
        <w:t>aws rds restore-db-instance-from-db-snapshot --db-instance-identifier sysops-lab11-restore-REPLACE_SUFFIX --db-snapshot-identifier sysops-lab11-REPLACE_SUFFIX | tee evidence/restore.json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9 — Capture metrics, snapshot and restore evidence as JPEGs; record actual recovery timing.</w:t>
      </w:r>
    </w:p>
    <w:p>
      <w:pPr>
        <w:ind w:left="360"/>
      </w:pPr>
      <w:r>
        <w:rPr>
          <w:rFonts w:ascii="Consolas" w:hAnsi="Consolas"/>
          <w:sz w:val="17"/>
        </w:rPr>
        <w:t>open EXPECTED-ARCHITECTURE.jpg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2"/>
      </w:pPr>
      <w:r>
        <w:rPr>
          <w:rFonts w:ascii="Arial" w:hAnsi="Arial"/>
          <w:b/>
          <w:sz w:val="21"/>
        </w:rPr>
        <w:t>Step 10 — Run validation; delete the isolated restore and learner snapshot when approved.</w:t>
      </w:r>
    </w:p>
    <w:p>
      <w:pPr>
        <w:ind w:left="360"/>
      </w:pPr>
      <w:r>
        <w:rPr>
          <w:rFonts w:ascii="Consolas" w:hAnsi="Consolas"/>
          <w:sz w:val="17"/>
        </w:rPr>
        <w:t>bash validate.sh</w:t>
        <w:br/>
        <w:t>bash cleanup.sh | tee evidence/cleanup.txt</w:t>
      </w:r>
    </w:p>
    <w:p>
      <w:r>
        <w:rPr>
          <w:rFonts w:ascii="Arial" w:hAnsi="Arial"/>
          <w:b w:val="0"/>
          <w:sz w:val="21"/>
        </w:rPr>
        <w:t>Evidence note: _________________________________________________</w:t>
      </w:r>
    </w:p>
    <w:p>
      <w:pPr>
        <w:pStyle w:val="Heading1"/>
      </w:pPr>
      <w:r>
        <w:rPr>
          <w:rFonts w:ascii="Arial" w:hAnsi="Arial"/>
          <w:b/>
          <w:sz w:val="21"/>
        </w:rPr>
        <w:t>Verification</w:t>
      </w:r>
    </w:p>
    <w:p>
      <w:r>
        <w:rPr>
          <w:rFonts w:ascii="Arial" w:hAnsi="Arial"/>
          <w:b w:val="0"/>
          <w:sz w:val="21"/>
        </w:rPr>
        <w:t>Metric calculations are reproducible, the chosen bottleneck cites evidence, one reversible action is proposed, recovery is isolated and timed, and validation emits LAB 11 PASS.</w:t>
      </w:r>
    </w:p>
    <w:p>
      <w:pPr>
        <w:pStyle w:val="Heading1"/>
      </w:pPr>
      <w:r>
        <w:rPr>
          <w:rFonts w:ascii="Arial" w:hAnsi="Arial"/>
          <w:b/>
          <w:sz w:val="21"/>
        </w:rPr>
        <w:t>Acceptance criteria</w:t>
      </w:r>
    </w:p>
    <w:p>
      <w:pPr>
        <w:pStyle w:val="ListBullet"/>
      </w:pPr>
      <w:r>
        <w:rPr>
          <w:rFonts w:ascii="Arial" w:hAnsi="Arial"/>
          <w:b w:val="0"/>
          <w:sz w:val="21"/>
        </w:rPr>
        <w:t>Units and baseline stated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Cause remains a hypothesis until tested</w:t>
      </w:r>
    </w:p>
    <w:p>
      <w:pPr>
        <w:pStyle w:val="ListBullet"/>
      </w:pPr>
      <w:r>
        <w:rPr>
          <w:rFonts w:ascii="Arial" w:hAnsi="Arial"/>
          <w:b w:val="0"/>
          <w:sz w:val="21"/>
        </w:rPr>
        <w:t>One variable changed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Restore does not overwrite source</w:t>
      </w:r>
    </w:p>
    <w:p>
      <w:pPr>
        <w:pStyle w:val="ListBullet"/>
      </w:pPr>
      <w:r>
        <w:rPr>
          <w:rFonts w:ascii="Arial" w:hAnsi="Arial"/>
          <w:b w:val="0"/>
          <w:sz w:val="21"/>
        </w:rPr>
        <w:t>Data validation and actual timing recorded</w:t>
      </w:r>
    </w:p>
    <w:p>
      <w:pPr>
        <w:pStyle w:val="Heading1"/>
      </w:pPr>
      <w:r>
        <w:rPr>
          <w:rFonts w:ascii="Arial" w:hAnsi="Arial"/>
          <w:b/>
          <w:sz w:val="21"/>
        </w:rPr>
        <w:t>Evidence checklist</w:t>
      </w:r>
    </w:p>
    <w:p>
      <w:r>
        <w:rPr>
          <w:rFonts w:ascii="Arial" w:hAnsi="Arial"/>
          <w:b w:val="0"/>
          <w:sz w:val="21"/>
        </w:rPr>
        <w:t>☐ Metric analysis</w:t>
      </w:r>
    </w:p>
    <w:p>
      <w:r>
        <w:rPr>
          <w:rFonts w:ascii="Arial" w:hAnsi="Arial"/>
          <w:b w:val="0"/>
          <w:sz w:val="21"/>
        </w:rPr>
        <w:t>☐ RDS configuration</w:t>
      </w:r>
    </w:p>
    <w:p>
      <w:r>
        <w:rPr>
          <w:rFonts w:ascii="Arial" w:hAnsi="Arial"/>
          <w:b w:val="0"/>
          <w:sz w:val="21"/>
        </w:rPr>
        <w:t>☐ query evidence</w:t>
      </w:r>
    </w:p>
    <w:p>
      <w:r>
        <w:rPr>
          <w:rFonts w:ascii="Arial" w:hAnsi="Arial"/>
          <w:b w:val="0"/>
          <w:sz w:val="21"/>
        </w:rPr>
        <w:t>☐ snapshot/restore records</w:t>
      </w:r>
    </w:p>
    <w:p>
      <w:r>
        <w:rPr>
          <w:rFonts w:ascii="Arial" w:hAnsi="Arial"/>
          <w:b w:val="0"/>
          <w:sz w:val="21"/>
        </w:rPr>
        <w:t>☐ completed bottleneck and change decisions</w:t>
      </w:r>
    </w:p>
    <w:p>
      <w:r>
        <w:rPr>
          <w:rFonts w:ascii="Arial" w:hAnsi="Arial"/>
          <w:b w:val="0"/>
          <w:sz w:val="21"/>
        </w:rPr>
        <w:t>☐ JPEG evidence</w:t>
      </w:r>
    </w:p>
    <w:p>
      <w:r>
        <w:rPr>
          <w:rFonts w:ascii="Arial" w:hAnsi="Arial"/>
          <w:b w:val="0"/>
          <w:sz w:val="21"/>
        </w:rPr>
        <w:t>☐ cleanup.txt</w:t>
      </w:r>
    </w:p>
    <w:p>
      <w:pPr>
        <w:pStyle w:val="Heading1"/>
      </w:pPr>
      <w:r>
        <w:rPr>
          <w:rFonts w:ascii="Arial" w:hAnsi="Arial"/>
          <w:b/>
          <w:sz w:val="21"/>
        </w:rPr>
        <w:t>Troubleshooting</w:t>
      </w:r>
    </w:p>
    <w:p>
      <w:pPr>
        <w:pStyle w:val="ListBullet"/>
      </w:pPr>
      <w:r>
        <w:rPr>
          <w:rFonts w:ascii="Arial" w:hAnsi="Arial"/>
          <w:b w:val="0"/>
          <w:sz w:val="21"/>
        </w:rPr>
        <w:t>Check identity, Region and resource ID before changing permissions.</w:t>
      </w:r>
    </w:p>
    <w:p>
      <w:pPr>
        <w:pStyle w:val="ListBullet"/>
      </w:pPr>
      <w:r>
        <w:rPr>
          <w:rFonts w:ascii="Arial" w:hAnsi="Arial"/>
          <w:b w:val="0"/>
          <w:sz w:val="21"/>
        </w:rPr>
        <w:t>Resolve every REPLACE placeholder.</w:t>
      </w:r>
    </w:p>
    <w:p>
      <w:pPr>
        <w:pStyle w:val="ListBullet"/>
      </w:pPr>
      <w:r>
        <w:rPr>
          <w:rFonts w:ascii="Arial" w:hAnsi="Arial"/>
          <w:b w:val="0"/>
          <w:sz w:val="21"/>
        </w:rPr>
        <w:t>Preserve error output as evidence.</w:t>
      </w:r>
    </w:p>
    <w:p>
      <w:pPr>
        <w:pStyle w:val="ListBullet"/>
      </w:pPr>
      <w:r>
        <w:rPr>
          <w:rFonts w:ascii="Arial" w:hAnsi="Arial"/>
          <w:b w:val="0"/>
          <w:sz w:val="21"/>
        </w:rPr>
        <w:t>Escalate cleanup failures immediately.</w:t>
      </w:r>
    </w:p>
    <w:sectPr w:rsidR="00FC693F" w:rsidRPr="0006063C" w:rsidSect="00034616">
      <w:pgSz w:w="12240" w:h="15840"/>
      <w:pgMar w:top="144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