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32"/>
        </w:rPr>
        <w:t>TERTIARY INFOTECH ACADEMY</w:t>
      </w:r>
    </w:p>
    <w:p>
      <w:pPr>
        <w:jc w:val="center"/>
      </w:pPr>
      <w:r>
        <w:rPr>
          <w:rFonts w:ascii="Arial" w:hAnsi="Arial"/>
          <w:b/>
          <w:sz w:val="48"/>
        </w:rPr>
        <w:t>LAB 12</w:t>
        <w:br/>
        <w:t>Capstone — Resolve a Multi-Service CloudOps Incident</w:t>
      </w:r>
    </w:p>
    <w:p>
      <w:pPr>
        <w:jc w:val="center"/>
      </w:pPr>
      <w:r>
        <w:rPr>
          <w:sz w:val="22"/>
        </w:rPr>
        <w:t>AWS Certified SysOps Administrator Associate Training</w:t>
        <w:br/>
        <w:t>TGS-2024051413 · Version v5.0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1"/>
        </w:rPr>
        <w:t>Scenario</w:t>
      </w:r>
    </w:p>
    <w:p>
      <w:r>
        <w:rPr>
          <w:rFonts w:ascii="Arial" w:hAnsi="Arial"/>
          <w:b w:val="0"/>
          <w:sz w:val="21"/>
        </w:rPr>
        <w:t>After a routine change, Northstar Retail experiences elevated web latency, intermittent 5xx responses, rejected VPC traffic, an incomplete backup job and a security finding.</w:t>
      </w:r>
    </w:p>
    <w:p>
      <w:pPr>
        <w:pStyle w:val="Heading1"/>
      </w:pPr>
      <w:r>
        <w:rPr>
          <w:rFonts w:ascii="Arial" w:hAnsi="Arial"/>
          <w:b/>
          <w:sz w:val="21"/>
        </w:rPr>
        <w:t>Objective</w:t>
      </w:r>
    </w:p>
    <w:p>
      <w:r>
        <w:rPr>
          <w:rFonts w:ascii="Arial" w:hAnsi="Arial"/>
          <w:b w:val="0"/>
          <w:sz w:val="21"/>
        </w:rPr>
        <w:t>Apply A1–A7 in one connected incident by detecting impact, isolating the failed boundary, restoring service, validating data and documenting service-quality improvements.</w:t>
      </w:r>
    </w:p>
    <w:p>
      <w:pPr>
        <w:pStyle w:val="Heading1"/>
      </w:pPr>
      <w:r>
        <w:rPr>
          <w:rFonts w:ascii="Arial" w:hAnsi="Arial"/>
          <w:b/>
          <w:sz w:val="21"/>
        </w:rPr>
        <w:t>Deliverable</w:t>
      </w:r>
    </w:p>
    <w:p>
      <w:r>
        <w:rPr>
          <w:rFonts w:ascii="Arial" w:hAnsi="Arial"/>
          <w:b w:val="0"/>
          <w:sz w:val="21"/>
        </w:rPr>
        <w:t>A timeline, evidence matrix, prioritised hypotheses, recovery runbook, validation record and post-incident action register.</w:t>
      </w:r>
    </w:p>
    <w:p>
      <w:pPr>
        <w:pStyle w:val="Heading1"/>
      </w:pPr>
      <w:r>
        <w:rPr>
          <w:rFonts w:ascii="Arial" w:hAnsi="Arial"/>
          <w:b/>
          <w:sz w:val="21"/>
        </w:rPr>
        <w:t>Services and tools</w:t>
      </w:r>
    </w:p>
    <w:p>
      <w:r>
        <w:rPr>
          <w:rFonts w:ascii="Arial" w:hAnsi="Arial"/>
          <w:b w:val="0"/>
          <w:sz w:val="21"/>
        </w:rPr>
        <w:t>CloudWatch · CloudTrail · VPC Flow Logs · ELB · AWS Backup · Security Hub · Systems Manager</w:t>
      </w:r>
    </w:p>
    <w:p>
      <w:pPr>
        <w:pStyle w:val="Heading1"/>
      </w:pPr>
      <w:r>
        <w:rPr>
          <w:rFonts w:ascii="Arial" w:hAnsi="Arial"/>
          <w:b/>
          <w:sz w:val="21"/>
        </w:rPr>
        <w:t>Safety and cost boundary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only the trainer-authorised learner account and Region.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Replace placeholders and tag learner-owned resources.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Capture evidence before cleanup.</w:t>
      </w:r>
    </w:p>
    <w:p>
      <w:pPr>
        <w:pStyle w:val="ListBullet"/>
      </w:pPr>
      <w:r>
        <w:rPr>
          <w:rFonts w:ascii="Arial" w:hAnsi="Arial"/>
          <w:b w:val="0"/>
          <w:sz w:val="21"/>
        </w:rPr>
        <w:t>Verify deletion and report retained chargeable resources.</w:t>
      </w:r>
    </w:p>
    <w:p>
      <w:pPr>
        <w:pStyle w:val="Heading1"/>
      </w:pPr>
      <w:r>
        <w:rPr>
          <w:rFonts w:ascii="Arial" w:hAnsi="Arial"/>
          <w:b/>
          <w:sz w:val="21"/>
        </w:rPr>
        <w:t>Detailed procedure</w:t>
      </w:r>
    </w:p>
    <w:p>
      <w:pPr>
        <w:pStyle w:val="Heading2"/>
      </w:pPr>
      <w:r>
        <w:rPr>
          <w:rFonts w:ascii="Arial" w:hAnsi="Arial"/>
          <w:b/>
          <w:sz w:val="21"/>
        </w:rPr>
        <w:t>Step 1 — Read every file in `data/`; record evidence source, timestamp, timezone and reliability in `EVIDENCE-MATRIX.csv`.</w:t>
      </w:r>
    </w:p>
    <w:p>
      <w:pPr>
        <w:ind w:left="360"/>
      </w:pPr>
      <w:r>
        <w:rPr>
          <w:rFonts w:ascii="Consolas" w:hAnsi="Consolas"/>
          <w:sz w:val="17"/>
        </w:rPr>
        <w:t>for f in data/*; do echo "--- $f"; sed -n '1,80p' "$f"; done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2 — Run `build_timeline.py`; verify the merged timeline is chronologically sorted and retains source IDs.</w:t>
      </w:r>
    </w:p>
    <w:p>
      <w:pPr>
        <w:ind w:left="360"/>
      </w:pPr>
      <w:r>
        <w:rPr>
          <w:rFonts w:ascii="Consolas" w:hAnsi="Consolas"/>
          <w:sz w:val="17"/>
        </w:rPr>
        <w:t>python3 build_timeline.py | tee evidence/timeline-build.txt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3 — Frame impact, scope and declared severity without naming a root cause yet.</w:t>
      </w:r>
    </w:p>
    <w:p>
      <w:pPr>
        <w:ind w:left="360"/>
      </w:pPr>
      <w:r>
        <w:rPr>
          <w:rFonts w:ascii="Consolas" w:hAnsi="Consolas"/>
          <w:sz w:val="17"/>
        </w:rPr>
        <w:t>open INCIDENT-RECORD.md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4 — Rank at least three hypotheses and name one discriminating test for each.</w:t>
      </w:r>
    </w:p>
    <w:p>
      <w:pPr>
        <w:ind w:left="360"/>
      </w:pPr>
      <w:r>
        <w:rPr>
          <w:rFonts w:ascii="Consolas" w:hAnsi="Consolas"/>
          <w:sz w:val="17"/>
        </w:rPr>
        <w:t>open HYPOTHESES.csv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5 — Identify the first failed boundary by correlating ALB health, Flow Logs, change events and application latency.</w:t>
      </w:r>
    </w:p>
    <w:p>
      <w:pPr>
        <w:ind w:left="360"/>
      </w:pPr>
      <w:r>
        <w:rPr>
          <w:rFonts w:ascii="Consolas" w:hAnsi="Consolas"/>
          <w:sz w:val="17"/>
        </w:rPr>
        <w:t>open output/timeline.csv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6 — Review backup and security evidence; decide which items block recovery and which become follow-up actions.</w:t>
      </w:r>
    </w:p>
    <w:p>
      <w:pPr>
        <w:ind w:left="360"/>
      </w:pPr>
      <w:r>
        <w:rPr>
          <w:rFonts w:ascii="Consolas" w:hAnsi="Consolas"/>
          <w:sz w:val="17"/>
        </w:rPr>
        <w:t>open EVIDENCE-MATRIX.csv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7 — Complete `RECOVERY-RUNBOOK.md` with authority, exact action, safety check, verification, communication and rollback.</w:t>
      </w:r>
    </w:p>
    <w:p>
      <w:pPr>
        <w:ind w:left="360"/>
      </w:pPr>
      <w:r>
        <w:rPr>
          <w:rFonts w:ascii="Consolas" w:hAnsi="Consolas"/>
          <w:sz w:val="17"/>
        </w:rPr>
        <w:t>open RECOVERY-RUNBOOK.md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8 — Execute the trainer-approved simulation action or tabletop step; record UTC timestamps and observed outputs.</w:t>
      </w:r>
    </w:p>
    <w:p>
      <w:pPr>
        <w:ind w:left="360"/>
      </w:pPr>
      <w:r>
        <w:rPr>
          <w:rFonts w:ascii="Consolas" w:hAnsi="Consolas"/>
          <w:sz w:val="17"/>
        </w:rPr>
        <w:t>open RECOVERY-VALIDATION.md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9 — Validate service health, request success, data integrity, security control and recovery objective.</w:t>
      </w:r>
    </w:p>
    <w:p>
      <w:pPr>
        <w:ind w:left="360"/>
      </w:pPr>
      <w:r>
        <w:rPr>
          <w:rFonts w:ascii="Consolas" w:hAnsi="Consolas"/>
          <w:sz w:val="17"/>
        </w:rPr>
        <w:t>open RECOVERY-VALIDATION.md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10 — Complete `ACTIONS.csv` with preventive, detective and recovery controls, owner, due date and verification threshold.</w:t>
      </w:r>
    </w:p>
    <w:p>
      <w:pPr>
        <w:ind w:left="360"/>
      </w:pPr>
      <w:r>
        <w:rPr>
          <w:rFonts w:ascii="Consolas" w:hAnsi="Consolas"/>
          <w:sz w:val="17"/>
        </w:rPr>
        <w:t>open ACTIONS.csv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11 — Deliver a five-minute operational briefing: impact, evidence, decision, recovery, limitation and next controls.</w:t>
      </w:r>
    </w:p>
    <w:p>
      <w:pPr>
        <w:ind w:left="360"/>
      </w:pPr>
      <w:r>
        <w:rPr>
          <w:rFonts w:ascii="Consolas" w:hAnsi="Consolas"/>
          <w:sz w:val="17"/>
        </w:rPr>
        <w:t>open INCIDENT-RECORD.md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12 — Capture the final dashboard/architecture evidence as JPEG and run the capstone validator.</w:t>
      </w:r>
    </w:p>
    <w:p>
      <w:pPr>
        <w:ind w:left="360"/>
      </w:pPr>
      <w:r>
        <w:rPr>
          <w:rFonts w:ascii="Consolas" w:hAnsi="Consolas"/>
          <w:sz w:val="17"/>
        </w:rPr>
        <w:t>open EXPECTED-ARCHITECTURE.jpg</w:t>
        <w:br/>
        <w:t>bash validate.sh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1"/>
      </w:pPr>
      <w:r>
        <w:rPr>
          <w:rFonts w:ascii="Arial" w:hAnsi="Arial"/>
          <w:b/>
          <w:sz w:val="21"/>
        </w:rPr>
        <w:t>Verification</w:t>
      </w:r>
    </w:p>
    <w:p>
      <w:r>
        <w:rPr>
          <w:rFonts w:ascii="Arial" w:hAnsi="Arial"/>
          <w:b w:val="0"/>
          <w:sz w:val="21"/>
        </w:rPr>
        <w:t>All evidence IDs reconcile, the timeline precedes causal claims, recovery and rollback are explicit, validation covers service and data, A1–A7 are mapped, and validation emits LAB 12 PASS.</w:t>
      </w:r>
    </w:p>
    <w:p>
      <w:pPr>
        <w:pStyle w:val="Heading1"/>
      </w:pPr>
      <w:r>
        <w:rPr>
          <w:rFonts w:ascii="Arial" w:hAnsi="Arial"/>
          <w:b/>
          <w:sz w:val="21"/>
        </w:rPr>
        <w:t>Acceptance criteria</w:t>
      </w:r>
    </w:p>
    <w:p>
      <w:pPr>
        <w:pStyle w:val="ListBullet"/>
      </w:pPr>
      <w:r>
        <w:rPr>
          <w:rFonts w:ascii="Arial" w:hAnsi="Arial"/>
          <w:b w:val="0"/>
          <w:sz w:val="21"/>
        </w:rPr>
        <w:t>A1–A7 traceability complete</w:t>
      </w:r>
    </w:p>
    <w:p>
      <w:pPr>
        <w:pStyle w:val="ListBullet"/>
      </w:pPr>
      <w:r>
        <w:rPr>
          <w:rFonts w:ascii="Arial" w:hAnsi="Arial"/>
          <w:b w:val="0"/>
          <w:sz w:val="21"/>
        </w:rPr>
        <w:t>Observation and hypothesis separated</w:t>
      </w:r>
    </w:p>
    <w:p>
      <w:pPr>
        <w:pStyle w:val="ListBullet"/>
      </w:pPr>
      <w:r>
        <w:rPr>
          <w:rFonts w:ascii="Arial" w:hAnsi="Arial"/>
          <w:b w:val="0"/>
          <w:sz w:val="21"/>
        </w:rPr>
        <w:t>First failed boundary supported</w:t>
      </w:r>
    </w:p>
    <w:p>
      <w:pPr>
        <w:pStyle w:val="ListBullet"/>
      </w:pPr>
      <w:r>
        <w:rPr>
          <w:rFonts w:ascii="Arial" w:hAnsi="Arial"/>
          <w:b w:val="0"/>
          <w:sz w:val="21"/>
        </w:rPr>
        <w:t>Recovery includes rollback and communication</w:t>
      </w:r>
    </w:p>
    <w:p>
      <w:pPr>
        <w:pStyle w:val="ListBullet"/>
      </w:pPr>
      <w:r>
        <w:rPr>
          <w:rFonts w:ascii="Arial" w:hAnsi="Arial"/>
          <w:b w:val="0"/>
          <w:sz w:val="21"/>
        </w:rPr>
        <w:t>Every action has owner, due date and measurable verification</w:t>
      </w:r>
    </w:p>
    <w:p>
      <w:pPr>
        <w:pStyle w:val="Heading1"/>
      </w:pPr>
      <w:r>
        <w:rPr>
          <w:rFonts w:ascii="Arial" w:hAnsi="Arial"/>
          <w:b/>
          <w:sz w:val="21"/>
        </w:rPr>
        <w:t>Evidence checklist</w:t>
      </w:r>
    </w:p>
    <w:p>
      <w:r>
        <w:rPr>
          <w:rFonts w:ascii="Arial" w:hAnsi="Arial"/>
          <w:b w:val="0"/>
          <w:sz w:val="21"/>
        </w:rPr>
        <w:t>☐ timeline.csv</w:t>
      </w:r>
    </w:p>
    <w:p>
      <w:r>
        <w:rPr>
          <w:rFonts w:ascii="Arial" w:hAnsi="Arial"/>
          <w:b w:val="0"/>
          <w:sz w:val="21"/>
        </w:rPr>
        <w:t>☐ evidence matrix</w:t>
      </w:r>
    </w:p>
    <w:p>
      <w:r>
        <w:rPr>
          <w:rFonts w:ascii="Arial" w:hAnsi="Arial"/>
          <w:b w:val="0"/>
          <w:sz w:val="21"/>
        </w:rPr>
        <w:t>☐ hypothesis register</w:t>
      </w:r>
    </w:p>
    <w:p>
      <w:r>
        <w:rPr>
          <w:rFonts w:ascii="Arial" w:hAnsi="Arial"/>
          <w:b w:val="0"/>
          <w:sz w:val="21"/>
        </w:rPr>
        <w:t>☐ incident record</w:t>
      </w:r>
    </w:p>
    <w:p>
      <w:r>
        <w:rPr>
          <w:rFonts w:ascii="Arial" w:hAnsi="Arial"/>
          <w:b w:val="0"/>
          <w:sz w:val="21"/>
        </w:rPr>
        <w:t>☐ recovery runbook</w:t>
      </w:r>
    </w:p>
    <w:p>
      <w:r>
        <w:rPr>
          <w:rFonts w:ascii="Arial" w:hAnsi="Arial"/>
          <w:b w:val="0"/>
          <w:sz w:val="21"/>
        </w:rPr>
        <w:t>☐ recovery validation</w:t>
      </w:r>
    </w:p>
    <w:p>
      <w:r>
        <w:rPr>
          <w:rFonts w:ascii="Arial" w:hAnsi="Arial"/>
          <w:b w:val="0"/>
          <w:sz w:val="21"/>
        </w:rPr>
        <w:t>☐ ACTIONS.csv</w:t>
      </w:r>
    </w:p>
    <w:p>
      <w:r>
        <w:rPr>
          <w:rFonts w:ascii="Arial" w:hAnsi="Arial"/>
          <w:b w:val="0"/>
          <w:sz w:val="21"/>
        </w:rPr>
        <w:t>☐ five-minute briefing</w:t>
      </w:r>
    </w:p>
    <w:p>
      <w:r>
        <w:rPr>
          <w:rFonts w:ascii="Arial" w:hAnsi="Arial"/>
          <w:b w:val="0"/>
          <w:sz w:val="21"/>
        </w:rPr>
        <w:t>☐ JPEG evidence</w:t>
      </w:r>
    </w:p>
    <w:p>
      <w:pPr>
        <w:pStyle w:val="Heading1"/>
      </w:pPr>
      <w:r>
        <w:rPr>
          <w:rFonts w:ascii="Arial" w:hAnsi="Arial"/>
          <w:b/>
          <w:sz w:val="21"/>
        </w:rPr>
        <w:t>Troubleshooting</w:t>
      </w:r>
    </w:p>
    <w:p>
      <w:pPr>
        <w:pStyle w:val="ListBullet"/>
      </w:pPr>
      <w:r>
        <w:rPr>
          <w:rFonts w:ascii="Arial" w:hAnsi="Arial"/>
          <w:b w:val="0"/>
          <w:sz w:val="21"/>
        </w:rPr>
        <w:t>Check identity, Region and resource ID before changing permissions.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Resolve every REPLACE placeholder.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Preserve error output as evidence.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Escalate cleanup failures immediately.</w:t>
      </w:r>
    </w:p>
    <w:sectPr w:rsidR="00FC693F" w:rsidRPr="0006063C" w:rsidSect="00034616">
      <w:pgSz w:w="12240" w:h="15840"/>
      <w:pgMar w:top="144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