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32"/>
        </w:rPr>
        <w:t>TERTIARY INFOTECH ACADEMY</w:t>
      </w:r>
    </w:p>
    <w:p>
      <w:pPr>
        <w:jc w:val="center"/>
      </w:pPr>
      <w:r>
        <w:rPr>
          <w:rFonts w:ascii="Arial" w:hAnsi="Arial"/>
          <w:b/>
          <w:sz w:val="48"/>
        </w:rPr>
        <w:t>LAB 01</w:t>
        <w:br/>
        <w:t>Build an Observability and Incident Detection Baseline</w:t>
      </w:r>
    </w:p>
    <w:p>
      <w:pPr>
        <w:jc w:val="center"/>
      </w:pPr>
      <w:r>
        <w:rPr>
          <w:sz w:val="22"/>
        </w:rPr>
        <w:t>AWS Certified SysOps Administrator Associate Training</w:t>
        <w:br/>
        <w:t>TGS-2024051413 · Version v6.0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1"/>
        </w:rPr>
        <w:t>Scenario</w:t>
      </w:r>
    </w:p>
    <w:p>
      <w:r>
        <w:rPr>
          <w:rFonts w:ascii="Arial" w:hAnsi="Arial"/>
          <w:b w:val="0"/>
          <w:sz w:val="21"/>
        </w:rPr>
        <w:t>Northstar Retail has intermittent web latency but no agreed baseline, owner or repeatable incident-evidence process.</w:t>
      </w:r>
    </w:p>
    <w:p>
      <w:pPr>
        <w:pStyle w:val="Heading1"/>
      </w:pPr>
      <w:r>
        <w:rPr>
          <w:rFonts w:ascii="Arial" w:hAnsi="Arial"/>
          <w:b/>
          <w:sz w:val="21"/>
        </w:rPr>
        <w:t>Objective</w:t>
      </w:r>
    </w:p>
    <w:p>
      <w:r>
        <w:rPr>
          <w:rFonts w:ascii="Arial" w:hAnsi="Arial"/>
          <w:b w:val="0"/>
          <w:sz w:val="21"/>
        </w:rPr>
        <w:t>Apply K1, K3, K4, A1 and A4 by creating a dashboard, alarm, CloudTrail evidence query and EventBridge detection rule for one tagged workload.</w:t>
      </w:r>
    </w:p>
    <w:p>
      <w:pPr>
        <w:pStyle w:val="Heading1"/>
      </w:pPr>
      <w:r>
        <w:rPr>
          <w:rFonts w:ascii="Arial" w:hAnsi="Arial"/>
          <w:b/>
          <w:sz w:val="21"/>
        </w:rPr>
        <w:t>Deliverable</w:t>
      </w:r>
    </w:p>
    <w:p>
      <w:r>
        <w:rPr>
          <w:rFonts w:ascii="Arial" w:hAnsi="Arial"/>
          <w:b w:val="0"/>
          <w:sz w:val="21"/>
        </w:rPr>
        <w:t>A CloudWatch dashboard, alarm definition, EventBridge pattern, evidence log and validation screenshots.</w:t>
      </w:r>
    </w:p>
    <w:p>
      <w:pPr>
        <w:pStyle w:val="Heading1"/>
      </w:pPr>
      <w:r>
        <w:rPr>
          <w:rFonts w:ascii="Arial" w:hAnsi="Arial"/>
          <w:b/>
          <w:sz w:val="21"/>
        </w:rPr>
        <w:t>Services and tools</w:t>
      </w:r>
    </w:p>
    <w:p>
      <w:r>
        <w:rPr>
          <w:rFonts w:ascii="Arial" w:hAnsi="Arial"/>
          <w:b w:val="0"/>
          <w:sz w:val="21"/>
        </w:rPr>
        <w:t>CloudWatch · CloudTrail · EventBridge · SNS · AWS CLI · CloudShell</w:t>
      </w:r>
    </w:p>
    <w:p>
      <w:pPr>
        <w:pStyle w:val="Heading1"/>
      </w:pPr>
      <w:r>
        <w:rPr>
          <w:rFonts w:ascii="Arial" w:hAnsi="Arial"/>
          <w:b/>
          <w:sz w:val="21"/>
        </w:rPr>
        <w:t>Safety and cost boundary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only the trainer-authorised learner account and Region.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Replace placeholders and tag learner-owned resources.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Capture evidence before cleanup.</w:t>
      </w:r>
    </w:p>
    <w:p>
      <w:pPr>
        <w:pStyle w:val="ListBullet"/>
      </w:pPr>
      <w:r>
        <w:rPr>
          <w:rFonts w:ascii="Arial" w:hAnsi="Arial"/>
          <w:b w:val="0"/>
          <w:sz w:val="21"/>
        </w:rPr>
        <w:t>Verify deletion and report retained chargeable resources.</w:t>
      </w:r>
    </w:p>
    <w:p>
      <w:pPr>
        <w:pStyle w:val="Heading1"/>
      </w:pPr>
      <w:r>
        <w:rPr>
          <w:rFonts w:ascii="Arial" w:hAnsi="Arial"/>
          <w:b/>
          <w:sz w:val="21"/>
        </w:rPr>
        <w:t>Detailed procedure</w:t>
      </w:r>
    </w:p>
    <w:p>
      <w:pPr>
        <w:pStyle w:val="Heading2"/>
      </w:pPr>
      <w:r>
        <w:rPr>
          <w:rFonts w:ascii="Arial" w:hAnsi="Arial"/>
          <w:b/>
          <w:sz w:val="21"/>
        </w:rPr>
        <w:t>Step 1 — Open `LAB-PLAN.md`; record the assigned Region, workload tag, notification email and cost boundary before creating resources.</w:t>
      </w:r>
    </w:p>
    <w:p>
      <w:pPr>
        <w:ind w:left="360"/>
      </w:pPr>
      <w:r>
        <w:rPr>
          <w:rFonts w:ascii="Consolas" w:hAnsi="Consolas"/>
          <w:sz w:val="17"/>
        </w:rPr>
        <w:t>open LAB-PLAN.md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2 — Confirm the active identity and Region in CloudShell. Save the output in `evidence/caller-identity.txt`.</w:t>
      </w:r>
    </w:p>
    <w:p>
      <w:pPr>
        <w:ind w:left="360"/>
      </w:pPr>
      <w:r>
        <w:rPr>
          <w:rFonts w:ascii="Consolas" w:hAnsi="Consolas"/>
          <w:sz w:val="17"/>
        </w:rPr>
        <w:t>aws sts get-caller-identity | tee evidence/caller-identity.txt</w:t>
        <w:br/>
        <w:t>aws configure get region | tee evidence/region.txt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3 — Create or select a small tagged EC2 training workload and confirm the `Course=TGS-2024051413` tag is visible.</w:t>
      </w:r>
    </w:p>
    <w:p>
      <w:pPr>
        <w:ind w:left="360"/>
      </w:pPr>
      <w:r>
        <w:rPr>
          <w:rFonts w:ascii="Consolas" w:hAnsi="Consolas"/>
          <w:sz w:val="17"/>
        </w:rPr>
        <w:t>aws ec2 describe-instances --filters 'Name=tag:Course,Values=TGS-2024051413' --query 'Reservations[].Instances[].{Id:InstanceId,State:State.Name,AZ:Placement.AvailabilityZone}' --output table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4 — Replace the placeholder instance ID in `cloudwatch-dashboard.json`, then create the dashboard.</w:t>
      </w:r>
    </w:p>
    <w:p>
      <w:pPr>
        <w:ind w:left="360"/>
      </w:pPr>
      <w:r>
        <w:rPr>
          <w:rFonts w:ascii="Consolas" w:hAnsi="Consolas"/>
          <w:sz w:val="17"/>
        </w:rPr>
        <w:t>aws cloudwatch put-dashboard --dashboard-name SysOps-Lab01 --dashboard-body file://cloudwatch-dashboard.json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5 — Replace the placeholder values in `alarm.json`; create the CPU alarm and verify its current state.</w:t>
      </w:r>
    </w:p>
    <w:p>
      <w:pPr>
        <w:ind w:left="360"/>
      </w:pPr>
      <w:r>
        <w:rPr>
          <w:rFonts w:ascii="Consolas" w:hAnsi="Consolas"/>
          <w:sz w:val="17"/>
        </w:rPr>
        <w:t>aws cloudwatch put-metric-alarm --cli-input-json file://alarm.json</w:t>
        <w:br/>
        <w:t>aws cloudwatch describe-alarms --alarm-names SysOps-Lab01-HighCPU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6 — Review CloudTrail Event history for your identity and export recent management events.</w:t>
      </w:r>
    </w:p>
    <w:p>
      <w:pPr>
        <w:ind w:left="360"/>
      </w:pPr>
      <w:r>
        <w:rPr>
          <w:rFonts w:ascii="Consolas" w:hAnsi="Consolas"/>
          <w:sz w:val="17"/>
        </w:rPr>
        <w:t>aws cloudtrail lookup-events --max-results 20 --query 'Events[].{Time:EventTime,Name:EventName,User:Username}' --output table | tee evidence/cloudtrail-events.txt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7 — Create the EventBridge rule from `event-pattern.json`; add the trainer-approved SNS target only after subscription confirmation.</w:t>
      </w:r>
    </w:p>
    <w:p>
      <w:pPr>
        <w:ind w:left="360"/>
      </w:pPr>
      <w:r>
        <w:rPr>
          <w:rFonts w:ascii="Consolas" w:hAnsi="Consolas"/>
          <w:sz w:val="17"/>
        </w:rPr>
        <w:t>aws events put-rule --name SysOps-Lab01-ConsoleChange --event-pattern file://event-pattern.json --state ENABLED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8 — Generate one safe configuration event, locate it in CloudTrail and confirm the EventBridge rule metric changes.</w:t>
      </w:r>
    </w:p>
    <w:p>
      <w:pPr>
        <w:ind w:left="360"/>
      </w:pPr>
      <w:r>
        <w:rPr>
          <w:rFonts w:ascii="Consolas" w:hAnsi="Consolas"/>
          <w:sz w:val="17"/>
        </w:rPr>
        <w:t>aws events describe-rule --name SysOps-Lab01-ConsoleChange | tee evidence/event-rule.txt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9 — Complete `INCIDENT-EVIDENCE.md`: separate observation, hypothesis, impact, next test and owner.</w:t>
      </w:r>
    </w:p>
    <w:p>
      <w:pPr>
        <w:ind w:left="360"/>
      </w:pPr>
      <w:r>
        <w:rPr>
          <w:rFonts w:ascii="Consolas" w:hAnsi="Consolas"/>
          <w:sz w:val="17"/>
        </w:rPr>
        <w:t>open INCIDENT-EVIDENCE.md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10 — Capture the dashboard, alarm and event rule as JPEG screenshots; compare them with `EXPECTED-ARCHITECTURE.jpg`.</w:t>
      </w:r>
    </w:p>
    <w:p>
      <w:pPr>
        <w:ind w:left="360"/>
      </w:pPr>
      <w:r>
        <w:rPr>
          <w:rFonts w:ascii="Consolas" w:hAnsi="Consolas"/>
          <w:sz w:val="17"/>
        </w:rPr>
        <w:t>open EXPECTED-ARCHITECTURE.jpg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11 — Run `validate.sh`; resolve missing placeholders or evidence before cleanup.</w:t>
      </w:r>
    </w:p>
    <w:p>
      <w:pPr>
        <w:ind w:left="360"/>
      </w:pPr>
      <w:r>
        <w:rPr>
          <w:rFonts w:ascii="Consolas" w:hAnsi="Consolas"/>
          <w:sz w:val="17"/>
        </w:rPr>
        <w:t>bash validate.sh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12 — Delete the lab rule, alarm and dashboard unless the trainer approves reuse; record cleanup evidence.</w:t>
      </w:r>
    </w:p>
    <w:p>
      <w:pPr>
        <w:ind w:left="360"/>
      </w:pPr>
      <w:r>
        <w:rPr>
          <w:rFonts w:ascii="Consolas" w:hAnsi="Consolas"/>
          <w:sz w:val="17"/>
        </w:rPr>
        <w:t>bash cleanup.sh | tee evidence/cleanup.txt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1"/>
      </w:pPr>
      <w:r>
        <w:rPr>
          <w:rFonts w:ascii="Arial" w:hAnsi="Arial"/>
          <w:b/>
          <w:sz w:val="21"/>
        </w:rPr>
        <w:t>Verification</w:t>
      </w:r>
    </w:p>
    <w:p>
      <w:r>
        <w:rPr>
          <w:rFonts w:ascii="Arial" w:hAnsi="Arial"/>
          <w:b w:val="0"/>
          <w:sz w:val="21"/>
        </w:rPr>
        <w:t>The dashboard and alarm reference the assigned workload; CloudTrail evidence names the actor and event; the EventBridge pattern is valid; the incident record distinguishes observation from hypothesis; validation emits LAB 01 PASS.</w:t>
      </w:r>
    </w:p>
    <w:p>
      <w:pPr>
        <w:pStyle w:val="Heading1"/>
      </w:pPr>
      <w:r>
        <w:rPr>
          <w:rFonts w:ascii="Arial" w:hAnsi="Arial"/>
          <w:b/>
          <w:sz w:val="21"/>
        </w:rPr>
        <w:t>Acceptance criteria</w:t>
      </w:r>
    </w:p>
    <w:p>
      <w:pPr>
        <w:pStyle w:val="ListBullet"/>
      </w:pPr>
      <w:r>
        <w:rPr>
          <w:rFonts w:ascii="Arial" w:hAnsi="Arial"/>
          <w:b w:val="0"/>
          <w:sz w:val="21"/>
        </w:rPr>
        <w:t>No placeholder values remain</w:t>
      </w:r>
    </w:p>
    <w:p>
      <w:pPr>
        <w:pStyle w:val="ListBullet"/>
      </w:pPr>
      <w:r>
        <w:rPr>
          <w:rFonts w:ascii="Arial" w:hAnsi="Arial"/>
          <w:b w:val="0"/>
          <w:sz w:val="21"/>
        </w:rPr>
        <w:t>All resources carry the course tag where supported</w:t>
      </w:r>
    </w:p>
    <w:p>
      <w:pPr>
        <w:pStyle w:val="ListBullet"/>
      </w:pPr>
      <w:r>
        <w:rPr>
          <w:rFonts w:ascii="Arial" w:hAnsi="Arial"/>
          <w:b w:val="0"/>
          <w:sz w:val="21"/>
        </w:rPr>
        <w:t>Alarm has an owner and action</w:t>
      </w:r>
    </w:p>
    <w:p>
      <w:pPr>
        <w:pStyle w:val="ListBullet"/>
      </w:pPr>
      <w:r>
        <w:rPr>
          <w:rFonts w:ascii="Arial" w:hAnsi="Arial"/>
          <w:b w:val="0"/>
          <w:sz w:val="21"/>
        </w:rPr>
        <w:t>Evidence includes UTC timestamps</w:t>
      </w:r>
    </w:p>
    <w:p>
      <w:pPr>
        <w:pStyle w:val="ListBullet"/>
      </w:pPr>
      <w:r>
        <w:rPr>
          <w:rFonts w:ascii="Arial" w:hAnsi="Arial"/>
          <w:b w:val="0"/>
          <w:sz w:val="21"/>
        </w:rPr>
        <w:t>No unapproved paid resource remains</w:t>
      </w:r>
    </w:p>
    <w:p>
      <w:pPr>
        <w:pStyle w:val="Heading1"/>
      </w:pPr>
      <w:r>
        <w:rPr>
          <w:rFonts w:ascii="Arial" w:hAnsi="Arial"/>
          <w:b/>
          <w:sz w:val="21"/>
        </w:rPr>
        <w:t>Evidence checklist</w:t>
      </w:r>
    </w:p>
    <w:p>
      <w:r>
        <w:rPr>
          <w:rFonts w:ascii="Arial" w:hAnsi="Arial"/>
          <w:b w:val="0"/>
          <w:sz w:val="21"/>
        </w:rPr>
        <w:t>☐ Dashboard JPEG</w:t>
      </w:r>
    </w:p>
    <w:p>
      <w:r>
        <w:rPr>
          <w:rFonts w:ascii="Arial" w:hAnsi="Arial"/>
          <w:b w:val="0"/>
          <w:sz w:val="21"/>
        </w:rPr>
        <w:t>☐ Alarm JPEG</w:t>
      </w:r>
    </w:p>
    <w:p>
      <w:r>
        <w:rPr>
          <w:rFonts w:ascii="Arial" w:hAnsi="Arial"/>
          <w:b w:val="0"/>
          <w:sz w:val="21"/>
        </w:rPr>
        <w:t>☐ CloudTrail event export</w:t>
      </w:r>
    </w:p>
    <w:p>
      <w:r>
        <w:rPr>
          <w:rFonts w:ascii="Arial" w:hAnsi="Arial"/>
          <w:b w:val="0"/>
          <w:sz w:val="21"/>
        </w:rPr>
        <w:t>☐ EventBridge rule export</w:t>
      </w:r>
    </w:p>
    <w:p>
      <w:r>
        <w:rPr>
          <w:rFonts w:ascii="Arial" w:hAnsi="Arial"/>
          <w:b w:val="0"/>
          <w:sz w:val="21"/>
        </w:rPr>
        <w:t>☐ completed INCIDENT-EVIDENCE.md</w:t>
      </w:r>
    </w:p>
    <w:p>
      <w:r>
        <w:rPr>
          <w:rFonts w:ascii="Arial" w:hAnsi="Arial"/>
          <w:b w:val="0"/>
          <w:sz w:val="21"/>
        </w:rPr>
        <w:t>☐ cleanup.txt</w:t>
      </w:r>
    </w:p>
    <w:p>
      <w:pPr>
        <w:pStyle w:val="Heading1"/>
      </w:pPr>
      <w:r>
        <w:rPr>
          <w:rFonts w:ascii="Arial" w:hAnsi="Arial"/>
          <w:b/>
          <w:sz w:val="21"/>
        </w:rPr>
        <w:t>Troubleshooting</w:t>
      </w:r>
    </w:p>
    <w:p>
      <w:pPr>
        <w:pStyle w:val="ListBullet"/>
      </w:pPr>
      <w:r>
        <w:rPr>
          <w:rFonts w:ascii="Arial" w:hAnsi="Arial"/>
          <w:b w:val="0"/>
          <w:sz w:val="21"/>
        </w:rPr>
        <w:t>Check identity, Region and resource ID before changing permissions.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Resolve every REPLACE placeholder.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Preserve error output as evidence.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Escalate cleanup failures immediately.</w:t>
      </w:r>
    </w:p>
    <w:sectPr w:rsidR="00FC693F" w:rsidRPr="0006063C" w:rsidSect="00034616">
      <w:pgSz w:w="12240" w:h="15840"/>
      <w:pgMar w:top="144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