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32"/>
        </w:rPr>
        <w:t>TERTIARY INFOTECH ACADEMY</w:t>
      </w:r>
    </w:p>
    <w:p>
      <w:pPr>
        <w:jc w:val="center"/>
      </w:pPr>
      <w:r>
        <w:rPr>
          <w:rFonts w:ascii="Arial" w:hAnsi="Arial"/>
          <w:b/>
          <w:sz w:val="48"/>
        </w:rPr>
        <w:t>LAB 03</w:t>
        <w:br/>
        <w:t>Operate an EC2 Fleet with Systems Manager</w:t>
      </w:r>
    </w:p>
    <w:p>
      <w:pPr>
        <w:jc w:val="center"/>
      </w:pPr>
      <w:r>
        <w:rPr>
          <w:sz w:val="22"/>
        </w:rPr>
        <w:t>AWS Certified SysOps Administrator Associate Training</w:t>
        <w:br/>
        <w:t>TGS-2024051413 · Version v6.0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1"/>
        </w:rPr>
        <w:t>Scenario</w:t>
      </w:r>
    </w:p>
    <w:p>
      <w:r>
        <w:rPr>
          <w:rFonts w:ascii="Arial" w:hAnsi="Arial"/>
          <w:b w:val="0"/>
          <w:sz w:val="21"/>
        </w:rPr>
        <w:t>Northstar Retail must remove public SSH access and make patching repeatable across tagged web instances.</w:t>
      </w:r>
    </w:p>
    <w:p>
      <w:pPr>
        <w:pStyle w:val="Heading1"/>
      </w:pPr>
      <w:r>
        <w:rPr>
          <w:rFonts w:ascii="Arial" w:hAnsi="Arial"/>
          <w:b/>
          <w:sz w:val="21"/>
        </w:rPr>
        <w:t>Objective</w:t>
      </w:r>
    </w:p>
    <w:p>
      <w:r>
        <w:rPr>
          <w:rFonts w:ascii="Arial" w:hAnsi="Arial"/>
          <w:b w:val="0"/>
          <w:sz w:val="21"/>
        </w:rPr>
        <w:t>Apply K3, K5, A3 and A5 by onboarding a managed node, using Session Manager and Run Command, assessing patch compliance and executing a controlled Automation runbook.</w:t>
      </w:r>
    </w:p>
    <w:p>
      <w:pPr>
        <w:pStyle w:val="Heading1"/>
      </w:pPr>
      <w:r>
        <w:rPr>
          <w:rFonts w:ascii="Arial" w:hAnsi="Arial"/>
          <w:b/>
          <w:sz w:val="21"/>
        </w:rPr>
        <w:t>Deliverable</w:t>
      </w:r>
    </w:p>
    <w:p>
      <w:r>
        <w:rPr>
          <w:rFonts w:ascii="Arial" w:hAnsi="Arial"/>
          <w:b w:val="0"/>
          <w:sz w:val="21"/>
        </w:rPr>
        <w:t>An EC2 managed node, SSM document, patch-compliance report, automation execution record and rollback evidence.</w:t>
      </w:r>
    </w:p>
    <w:p>
      <w:pPr>
        <w:pStyle w:val="Heading1"/>
      </w:pPr>
      <w:r>
        <w:rPr>
          <w:rFonts w:ascii="Arial" w:hAnsi="Arial"/>
          <w:b/>
          <w:sz w:val="21"/>
        </w:rPr>
        <w:t>Services and tools</w:t>
      </w:r>
    </w:p>
    <w:p>
      <w:r>
        <w:rPr>
          <w:rFonts w:ascii="Arial" w:hAnsi="Arial"/>
          <w:b w:val="0"/>
          <w:sz w:val="21"/>
        </w:rPr>
        <w:t>EC2 · IAM · Systems Manager · Session Manager · Run Command · Patch Manager · Automation</w:t>
      </w:r>
    </w:p>
    <w:p>
      <w:pPr>
        <w:pStyle w:val="Heading1"/>
      </w:pPr>
      <w:r>
        <w:rPr>
          <w:rFonts w:ascii="Arial" w:hAnsi="Arial"/>
          <w:b/>
          <w:sz w:val="21"/>
        </w:rPr>
        <w:t>Safety and cost boundary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only the trainer-authorised learner account and Region.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Replace placeholders and tag learner-owned resources.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Capture evidence before cleanup.</w:t>
      </w:r>
    </w:p>
    <w:p>
      <w:pPr>
        <w:pStyle w:val="ListBullet"/>
      </w:pPr>
      <w:r>
        <w:rPr>
          <w:rFonts w:ascii="Arial" w:hAnsi="Arial"/>
          <w:b w:val="0"/>
          <w:sz w:val="21"/>
        </w:rPr>
        <w:t>Verify deletion and report retained chargeable resources.</w:t>
      </w:r>
    </w:p>
    <w:p>
      <w:pPr>
        <w:pStyle w:val="Heading1"/>
      </w:pPr>
      <w:r>
        <w:rPr>
          <w:rFonts w:ascii="Arial" w:hAnsi="Arial"/>
          <w:b/>
          <w:sz w:val="21"/>
        </w:rPr>
        <w:t>Detailed procedure</w:t>
      </w:r>
    </w:p>
    <w:p>
      <w:pPr>
        <w:pStyle w:val="Heading2"/>
      </w:pPr>
      <w:r>
        <w:rPr>
          <w:rFonts w:ascii="Arial" w:hAnsi="Arial"/>
          <w:b/>
          <w:sz w:val="21"/>
        </w:rPr>
        <w:t>Step 1 — Review `managed-instance.yaml`; choose the trainer-provided VPC/subnet and confirm the AMI is supported in the assigned Region.</w:t>
      </w:r>
    </w:p>
    <w:p>
      <w:pPr>
        <w:ind w:left="360"/>
      </w:pPr>
      <w:r>
        <w:rPr>
          <w:rFonts w:ascii="Consolas" w:hAnsi="Consolas"/>
          <w:sz w:val="17"/>
        </w:rPr>
        <w:t>aws cloudformation validate-template --template-body file://managed-instance.yaml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2 — Deploy the stack using a unique learner suffix and the required IAM capability.</w:t>
      </w:r>
    </w:p>
    <w:p>
      <w:pPr>
        <w:ind w:left="360"/>
      </w:pPr>
      <w:r>
        <w:rPr>
          <w:rFonts w:ascii="Consolas" w:hAnsi="Consolas"/>
          <w:sz w:val="17"/>
        </w:rPr>
        <w:t>aws cloudformation deploy --stack-name SysOps-Lab03-REPLACE_SUFFIX --template-file managed-instance.yaml --capabilities CAPABILITY_NAMED_IAM --parameter-overrides CourseTag=TGS-2024051413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3 — Obtain the instance ID from stack outputs and wait until Systems Manager reports it online.</w:t>
      </w:r>
    </w:p>
    <w:p>
      <w:pPr>
        <w:ind w:left="360"/>
      </w:pPr>
      <w:r>
        <w:rPr>
          <w:rFonts w:ascii="Consolas" w:hAnsi="Consolas"/>
          <w:sz w:val="17"/>
        </w:rPr>
        <w:t>aws ssm describe-instance-information --filters Key=tag:Course,Values=TGS-2024051413 --output table | tee evidence/managed-nodes.txt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4 — Start a Session Manager session. Confirm there is no inbound SSH rule and capture the managed shell evidence.</w:t>
      </w:r>
    </w:p>
    <w:p>
      <w:pPr>
        <w:ind w:left="360"/>
      </w:pPr>
      <w:r>
        <w:rPr>
          <w:rFonts w:ascii="Consolas" w:hAnsi="Consolas"/>
          <w:sz w:val="17"/>
        </w:rPr>
        <w:t>aws ssm start-session --target REPLACE_INSTANCE_ID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5 — Create the custom SSM document from `document-install-healthcheck.yml` and inspect its status.</w:t>
      </w:r>
    </w:p>
    <w:p>
      <w:pPr>
        <w:ind w:left="360"/>
      </w:pPr>
      <w:r>
        <w:rPr>
          <w:rFonts w:ascii="Consolas" w:hAnsi="Consolas"/>
          <w:sz w:val="17"/>
        </w:rPr>
        <w:t>aws ssm create-document --name SysOps-Lab03-HealthCheck --document-type Command --document-format YAML --content file://document-install-healthcheck.yml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6 — Run the document against the managed node with a concurrency of one and record the command ID.</w:t>
      </w:r>
    </w:p>
    <w:p>
      <w:pPr>
        <w:ind w:left="360"/>
      </w:pPr>
      <w:r>
        <w:rPr>
          <w:rFonts w:ascii="Consolas" w:hAnsi="Consolas"/>
          <w:sz w:val="17"/>
        </w:rPr>
        <w:t>aws ssm send-command --document-name SysOps-Lab03-HealthCheck --targets Key=tag:Course,Values=TGS-2024051413 --max-concurrency 1 --max-errors 0 | tee evidence/send-command.json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7 — Review Inventory and patch compliance. Explain the baseline, severity and approval rules in `CHANGE-RECORD.md`.</w:t>
      </w:r>
    </w:p>
    <w:p>
      <w:pPr>
        <w:ind w:left="360"/>
      </w:pPr>
      <w:r>
        <w:rPr>
          <w:rFonts w:ascii="Consolas" w:hAnsi="Consolas"/>
          <w:sz w:val="17"/>
        </w:rPr>
        <w:t>aws ssm list-compliance-items --resource-ids REPLACE_INSTANCE_ID --resource-types ManagedInstance --output table | tee evidence/compliance.txt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8 — Execute the read-only Automation runbook and save the output. Do not scale beyond one node until its evidence passes.</w:t>
      </w:r>
    </w:p>
    <w:p>
      <w:pPr>
        <w:ind w:left="360"/>
      </w:pPr>
      <w:r>
        <w:rPr>
          <w:rFonts w:ascii="Consolas" w:hAnsi="Consolas"/>
          <w:sz w:val="17"/>
        </w:rPr>
        <w:t>aws ssm start-automation-execution --document-name AWS-DescribeInstanceInformation --parameters InstanceIds=REPLACE_INSTANCE_ID | tee evidence/automation.json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9 — Capture Fleet Manager, compliance and command output as JPEG evidence; compare with `EXPECTED-ARCHITECTURE.jpg`.</w:t>
      </w:r>
    </w:p>
    <w:p>
      <w:pPr>
        <w:ind w:left="360"/>
      </w:pPr>
      <w:r>
        <w:rPr>
          <w:rFonts w:ascii="Consolas" w:hAnsi="Consolas"/>
          <w:sz w:val="17"/>
        </w:rPr>
        <w:t>open EXPECTED-ARCHITECTURE.jpg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10 — Complete the change record with risk, owner, success metric, rollback and UTC timestamps.</w:t>
      </w:r>
    </w:p>
    <w:p>
      <w:pPr>
        <w:ind w:left="360"/>
      </w:pPr>
      <w:r>
        <w:rPr>
          <w:rFonts w:ascii="Consolas" w:hAnsi="Consolas"/>
          <w:sz w:val="17"/>
        </w:rPr>
        <w:t>open CHANGE-RECORD.md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11 — Run `validate.sh`, then remove the custom document and CloudFormation stack.</w:t>
      </w:r>
    </w:p>
    <w:p>
      <w:pPr>
        <w:ind w:left="360"/>
      </w:pPr>
      <w:r>
        <w:rPr>
          <w:rFonts w:ascii="Consolas" w:hAnsi="Consolas"/>
          <w:sz w:val="17"/>
        </w:rPr>
        <w:t>bash validate.sh</w:t>
        <w:br/>
        <w:t>bash cleanup.sh | tee evidence/cleanup.txt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1"/>
      </w:pPr>
      <w:r>
        <w:rPr>
          <w:rFonts w:ascii="Arial" w:hAnsi="Arial"/>
          <w:b/>
          <w:sz w:val="21"/>
        </w:rPr>
        <w:t>Verification</w:t>
      </w:r>
    </w:p>
    <w:p>
      <w:r>
        <w:rPr>
          <w:rFonts w:ascii="Arial" w:hAnsi="Arial"/>
          <w:b w:val="0"/>
          <w:sz w:val="21"/>
        </w:rPr>
        <w:t>The instance is managed without public SSH, the custom document validates, command and compliance evidence are present, the change record includes verification and rollback, and validation emits LAB 03 PASS.</w:t>
      </w:r>
    </w:p>
    <w:p>
      <w:pPr>
        <w:pStyle w:val="Heading1"/>
      </w:pPr>
      <w:r>
        <w:rPr>
          <w:rFonts w:ascii="Arial" w:hAnsi="Arial"/>
          <w:b/>
          <w:sz w:val="21"/>
        </w:rPr>
        <w:t>Acceptance criteria</w:t>
      </w:r>
    </w:p>
    <w:p>
      <w:pPr>
        <w:pStyle w:val="ListBullet"/>
      </w:pPr>
      <w:r>
        <w:rPr>
          <w:rFonts w:ascii="Arial" w:hAnsi="Arial"/>
          <w:b w:val="0"/>
          <w:sz w:val="21"/>
        </w:rPr>
        <w:t>No inbound SSH from the internet</w:t>
      </w:r>
    </w:p>
    <w:p>
      <w:pPr>
        <w:pStyle w:val="ListBullet"/>
      </w:pPr>
      <w:r>
        <w:rPr>
          <w:rFonts w:ascii="Arial" w:hAnsi="Arial"/>
          <w:b w:val="0"/>
          <w:sz w:val="21"/>
        </w:rPr>
        <w:t>Instance profile grants only required managed-node permissions</w:t>
      </w:r>
    </w:p>
    <w:p>
      <w:pPr>
        <w:pStyle w:val="ListBullet"/>
      </w:pPr>
      <w:r>
        <w:rPr>
          <w:rFonts w:ascii="Arial" w:hAnsi="Arial"/>
          <w:b w:val="0"/>
          <w:sz w:val="21"/>
        </w:rPr>
        <w:t>Canary concurrency is one</w:t>
      </w:r>
    </w:p>
    <w:p>
      <w:pPr>
        <w:pStyle w:val="ListBullet"/>
      </w:pPr>
      <w:r>
        <w:rPr>
          <w:rFonts w:ascii="Arial" w:hAnsi="Arial"/>
          <w:b w:val="0"/>
          <w:sz w:val="21"/>
        </w:rPr>
        <w:t>Patch status is explained</w:t>
      </w:r>
    </w:p>
    <w:p>
      <w:pPr>
        <w:pStyle w:val="ListBullet"/>
      </w:pPr>
      <w:r>
        <w:rPr>
          <w:rFonts w:ascii="Arial" w:hAnsi="Arial"/>
          <w:b w:val="0"/>
          <w:sz w:val="21"/>
        </w:rPr>
        <w:t>Rollback and cleanup are documented</w:t>
      </w:r>
    </w:p>
    <w:p>
      <w:pPr>
        <w:pStyle w:val="Heading1"/>
      </w:pPr>
      <w:r>
        <w:rPr>
          <w:rFonts w:ascii="Arial" w:hAnsi="Arial"/>
          <w:b/>
          <w:sz w:val="21"/>
        </w:rPr>
        <w:t>Evidence checklist</w:t>
      </w:r>
    </w:p>
    <w:p>
      <w:r>
        <w:rPr>
          <w:rFonts w:ascii="Arial" w:hAnsi="Arial"/>
          <w:b w:val="0"/>
          <w:sz w:val="21"/>
        </w:rPr>
        <w:t>☐ Managed-node inventory</w:t>
      </w:r>
    </w:p>
    <w:p>
      <w:r>
        <w:rPr>
          <w:rFonts w:ascii="Arial" w:hAnsi="Arial"/>
          <w:b w:val="0"/>
          <w:sz w:val="21"/>
        </w:rPr>
        <w:t>☐ Session Manager JPEG</w:t>
      </w:r>
    </w:p>
    <w:p>
      <w:r>
        <w:rPr>
          <w:rFonts w:ascii="Arial" w:hAnsi="Arial"/>
          <w:b w:val="0"/>
          <w:sz w:val="21"/>
        </w:rPr>
        <w:t>☐ Run Command output</w:t>
      </w:r>
    </w:p>
    <w:p>
      <w:r>
        <w:rPr>
          <w:rFonts w:ascii="Arial" w:hAnsi="Arial"/>
          <w:b w:val="0"/>
          <w:sz w:val="21"/>
        </w:rPr>
        <w:t>☐ Patch compliance export</w:t>
      </w:r>
    </w:p>
    <w:p>
      <w:r>
        <w:rPr>
          <w:rFonts w:ascii="Arial" w:hAnsi="Arial"/>
          <w:b w:val="0"/>
          <w:sz w:val="21"/>
        </w:rPr>
        <w:t>☐ Automation execution</w:t>
      </w:r>
    </w:p>
    <w:p>
      <w:r>
        <w:rPr>
          <w:rFonts w:ascii="Arial" w:hAnsi="Arial"/>
          <w:b w:val="0"/>
          <w:sz w:val="21"/>
        </w:rPr>
        <w:t>☐ completed CHANGE-RECORD.md</w:t>
      </w:r>
    </w:p>
    <w:p>
      <w:r>
        <w:rPr>
          <w:rFonts w:ascii="Arial" w:hAnsi="Arial"/>
          <w:b w:val="0"/>
          <w:sz w:val="21"/>
        </w:rPr>
        <w:t>☐ cleanup.txt</w:t>
      </w:r>
    </w:p>
    <w:p>
      <w:pPr>
        <w:pStyle w:val="Heading1"/>
      </w:pPr>
      <w:r>
        <w:rPr>
          <w:rFonts w:ascii="Arial" w:hAnsi="Arial"/>
          <w:b/>
          <w:sz w:val="21"/>
        </w:rPr>
        <w:t>Troubleshooting</w:t>
      </w:r>
    </w:p>
    <w:p>
      <w:pPr>
        <w:pStyle w:val="ListBullet"/>
      </w:pPr>
      <w:r>
        <w:rPr>
          <w:rFonts w:ascii="Arial" w:hAnsi="Arial"/>
          <w:b w:val="0"/>
          <w:sz w:val="21"/>
        </w:rPr>
        <w:t>Check identity, Region and resource ID before changing permissions.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Resolve every REPLACE placeholder.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Preserve error output as evidence.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Escalate cleanup failures immediately.</w:t>
      </w:r>
    </w:p>
    <w:sectPr w:rsidR="00FC693F" w:rsidRPr="0006063C" w:rsidSect="00034616">
      <w:pgSz w:w="12240" w:h="15840"/>
      <w:pgMar w:top="144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