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6FEB"/>
          <w:sz w:val="32"/>
        </w:rPr>
        <w:t>TERTIARY INFOTECH ACADEMY</w:t>
      </w:r>
    </w:p>
    <w:p>
      <w:pPr>
        <w:jc w:val="center"/>
      </w:pPr>
      <w:r>
        <w:rPr>
          <w:rFonts w:ascii="Arial" w:hAnsi="Arial"/>
          <w:b/>
          <w:sz w:val="48"/>
        </w:rPr>
        <w:t>LAB 08</w:t>
        <w:br/>
        <w:t>Diagnose IAM Access and Protect Data with KMS</w:t>
      </w:r>
    </w:p>
    <w:p>
      <w:pPr>
        <w:jc w:val="center"/>
      </w:pPr>
      <w:r>
        <w:rPr>
          <w:sz w:val="22"/>
        </w:rPr>
        <w:t>AWS Certified SysOps Administrator Associate Training</w:t>
        <w:br/>
        <w:t>TGS-2024051413 · Version v6.0</w:t>
      </w:r>
    </w:p>
    <w:p>
      <w:r>
        <w:br w:type="page"/>
      </w:r>
    </w:p>
    <w:p>
      <w:pPr>
        <w:pStyle w:val="Heading1"/>
      </w:pPr>
      <w:r>
        <w:rPr>
          <w:rFonts w:ascii="Arial" w:hAnsi="Arial"/>
          <w:b/>
          <w:sz w:val="21"/>
        </w:rPr>
        <w:t>Scenario</w:t>
      </w:r>
    </w:p>
    <w:p>
      <w:r>
        <w:rPr>
          <w:rFonts w:ascii="Arial" w:hAnsi="Arial"/>
          <w:b w:val="0"/>
          <w:sz w:val="21"/>
        </w:rPr>
        <w:t>A learner workload is denied access to an encrypted object after a policy change, while an earlier role remains broader than required.</w:t>
      </w:r>
    </w:p>
    <w:p>
      <w:pPr>
        <w:pStyle w:val="Heading1"/>
      </w:pPr>
      <w:r>
        <w:rPr>
          <w:rFonts w:ascii="Arial" w:hAnsi="Arial"/>
          <w:b/>
          <w:sz w:val="21"/>
        </w:rPr>
        <w:t>Objective</w:t>
      </w:r>
    </w:p>
    <w:p>
      <w:r>
        <w:rPr>
          <w:rFonts w:ascii="Arial" w:hAnsi="Arial"/>
          <w:b w:val="0"/>
          <w:sz w:val="21"/>
        </w:rPr>
        <w:t>Apply K1, K3, A1 and A7 by explaining an access decision, narrowing permissions and verifying encryption and key-policy behaviour.</w:t>
      </w:r>
    </w:p>
    <w:p>
      <w:pPr>
        <w:pStyle w:val="Heading1"/>
      </w:pPr>
      <w:r>
        <w:rPr>
          <w:rFonts w:ascii="Arial" w:hAnsi="Arial"/>
          <w:b/>
          <w:sz w:val="21"/>
        </w:rPr>
        <w:t>Deliverable</w:t>
      </w:r>
    </w:p>
    <w:p>
      <w:r>
        <w:rPr>
          <w:rFonts w:ascii="Arial" w:hAnsi="Arial"/>
          <w:b w:val="0"/>
          <w:sz w:val="21"/>
        </w:rPr>
        <w:t>A policy-evaluation worksheet, corrected least-privilege policy, KMS key-policy review and encrypted-object evidence.</w:t>
      </w:r>
    </w:p>
    <w:p>
      <w:pPr>
        <w:pStyle w:val="Heading1"/>
      </w:pPr>
      <w:r>
        <w:rPr>
          <w:rFonts w:ascii="Arial" w:hAnsi="Arial"/>
          <w:b/>
          <w:sz w:val="21"/>
        </w:rPr>
        <w:t>Services and tools</w:t>
      </w:r>
    </w:p>
    <w:p>
      <w:r>
        <w:rPr>
          <w:rFonts w:ascii="Arial" w:hAnsi="Arial"/>
          <w:b w:val="0"/>
          <w:sz w:val="21"/>
        </w:rPr>
        <w:t>IAM · Access Analyzer · Policy Simulator · KMS · S3 · CloudTrail</w:t>
      </w:r>
    </w:p>
    <w:p>
      <w:pPr>
        <w:pStyle w:val="Heading1"/>
      </w:pPr>
      <w:r>
        <w:rPr>
          <w:rFonts w:ascii="Arial" w:hAnsi="Arial"/>
          <w:b/>
          <w:sz w:val="21"/>
        </w:rPr>
        <w:t>Safety and cost boundary</w:t>
      </w:r>
    </w:p>
    <w:p>
      <w:pPr>
        <w:pStyle w:val="ListBullet"/>
      </w:pPr>
      <w:r>
        <w:rPr>
          <w:rFonts w:ascii="Arial" w:hAnsi="Arial"/>
          <w:b w:val="0"/>
          <w:sz w:val="21"/>
        </w:rPr>
        <w:t>Use only the trainer-authorised learner account and Region.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Replace placeholders and tag learner-owned resources.</w:t>
      </w:r>
    </w:p>
    <w:p>
      <w:pPr>
        <w:pStyle w:val="ListBullet"/>
      </w:pPr>
      <w:r>
        <w:rPr>
          <w:rFonts w:ascii="Arial" w:hAnsi="Arial"/>
          <w:b w:val="0"/>
          <w:sz w:val="21"/>
        </w:rPr>
        <w:t>Capture evidence before cleanup.</w:t>
      </w:r>
    </w:p>
    <w:p>
      <w:pPr>
        <w:pStyle w:val="ListBullet"/>
      </w:pPr>
      <w:r>
        <w:rPr>
          <w:rFonts w:ascii="Arial" w:hAnsi="Arial"/>
          <w:b w:val="0"/>
          <w:sz w:val="21"/>
        </w:rPr>
        <w:t>Verify deletion and report retained chargeable resources.</w:t>
      </w:r>
    </w:p>
    <w:p>
      <w:pPr>
        <w:pStyle w:val="Heading1"/>
      </w:pPr>
      <w:r>
        <w:rPr>
          <w:rFonts w:ascii="Arial" w:hAnsi="Arial"/>
          <w:b/>
          <w:sz w:val="21"/>
        </w:rPr>
        <w:t>Detailed procedure</w:t>
      </w:r>
    </w:p>
    <w:p>
      <w:pPr>
        <w:pStyle w:val="Heading2"/>
      </w:pPr>
      <w:r>
        <w:rPr>
          <w:rFonts w:ascii="Arial" w:hAnsi="Arial"/>
          <w:b/>
          <w:sz w:val="21"/>
        </w:rPr>
        <w:t>Step 1 — Read `ACCESS-SCENARIO.md`; identify principal, action, resource, conditions, boundary and possible explicit denies.</w:t>
      </w:r>
    </w:p>
    <w:p>
      <w:pPr>
        <w:ind w:left="360"/>
      </w:pPr>
      <w:r>
        <w:rPr>
          <w:rFonts w:ascii="Consolas" w:hAnsi="Consolas"/>
          <w:sz w:val="17"/>
        </w:rPr>
        <w:t>open ACCESS-SCENARIO.md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2 — Validate the supplied identity, bucket and KMS policy JSON before reasoning about the decision.</w:t>
      </w:r>
    </w:p>
    <w:p>
      <w:pPr>
        <w:ind w:left="360"/>
      </w:pPr>
      <w:r>
        <w:rPr>
          <w:rFonts w:ascii="Consolas" w:hAnsi="Consolas"/>
          <w:sz w:val="17"/>
        </w:rPr>
        <w:t>for f in identity-policy.json bucket-policy.json kms-key-policy.json; do python3 -m json.tool "$f" &gt;/dev/null; done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3 — Use the IAM policy simulator or trainer-provided equivalent to test GetObject on the exact learner object ARN.</w:t>
      </w:r>
    </w:p>
    <w:p>
      <w:pPr>
        <w:ind w:left="360"/>
      </w:pPr>
      <w:r>
        <w:rPr>
          <w:rFonts w:ascii="Consolas" w:hAnsi="Consolas"/>
          <w:sz w:val="17"/>
        </w:rPr>
        <w:t>aws iam simulate-principal-policy --policy-source-arn REPLACE_ROLE_ARN --action-names s3:GetObject kms:Decrypt --resource-arns REPLACE_OBJECT_ARN REPLACE_KEY_ARN | tee evidence/simulation.json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4 — Inspect CloudTrail for the denied request and record error code, principal, resource and UTC time.</w:t>
      </w:r>
    </w:p>
    <w:p>
      <w:pPr>
        <w:ind w:left="360"/>
      </w:pPr>
      <w:r>
        <w:rPr>
          <w:rFonts w:ascii="Consolas" w:hAnsi="Consolas"/>
          <w:sz w:val="17"/>
        </w:rPr>
        <w:t>aws cloudtrail lookup-events --lookup-attributes AttributeKey=EventName,AttributeValue=GetObject --max-results 20 | tee evidence/cloudtrail-deny.json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5 — Complete `ACCESS-DECISION.md` in evaluation order; distinguish the S3 allow from the KMS decrypt requirement.</w:t>
      </w:r>
    </w:p>
    <w:p>
      <w:pPr>
        <w:ind w:left="360"/>
      </w:pPr>
      <w:r>
        <w:rPr>
          <w:rFonts w:ascii="Consolas" w:hAnsi="Consolas"/>
          <w:sz w:val="17"/>
        </w:rPr>
        <w:t>open ACCESS-DECISION.md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6 — Edit `identity-policy.json` to the exact bucket prefix and key; retain no wildcard action.</w:t>
      </w:r>
    </w:p>
    <w:p>
      <w:pPr>
        <w:ind w:left="360"/>
      </w:pPr>
      <w:r>
        <w:rPr>
          <w:rFonts w:ascii="Consolas" w:hAnsi="Consolas"/>
          <w:sz w:val="17"/>
        </w:rPr>
        <w:t>open identity-policy.json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7 — Upload and retrieve a small encrypted learner-owned object, then verify encryption metadata.</w:t>
      </w:r>
    </w:p>
    <w:p>
      <w:pPr>
        <w:ind w:left="360"/>
      </w:pPr>
      <w:r>
        <w:rPr>
          <w:rFonts w:ascii="Consolas" w:hAnsi="Consolas"/>
          <w:sz w:val="17"/>
        </w:rPr>
        <w:t>aws s3api head-object --bucket REPLACE_BUCKET --key lab08/evidence.txt | tee evidence/head-object.json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8 — Run Access Analyzer validation on the policies and resolve ERROR findings.</w:t>
      </w:r>
    </w:p>
    <w:p>
      <w:pPr>
        <w:ind w:left="360"/>
      </w:pPr>
      <w:r>
        <w:rPr>
          <w:rFonts w:ascii="Consolas" w:hAnsi="Consolas"/>
          <w:sz w:val="17"/>
        </w:rPr>
        <w:t>aws accessanalyzer validate-policy --policy-document file://identity-policy.json --policy-type IDENTITY_POLICY | tee evidence/policy-validation.json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9 — Capture policy simulation and encrypted-object evidence as JPEG screenshots; run validation.</w:t>
      </w:r>
    </w:p>
    <w:p>
      <w:pPr>
        <w:ind w:left="360"/>
      </w:pPr>
      <w:r>
        <w:rPr>
          <w:rFonts w:ascii="Consolas" w:hAnsi="Consolas"/>
          <w:sz w:val="17"/>
        </w:rPr>
        <w:t>open EXPECTED-ARCHITECTURE.jpg</w:t>
        <w:br/>
        <w:t>bash validate.sh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2"/>
      </w:pPr>
      <w:r>
        <w:rPr>
          <w:rFonts w:ascii="Arial" w:hAnsi="Arial"/>
          <w:b/>
          <w:sz w:val="21"/>
        </w:rPr>
        <w:t>Step 10 — Remove the learner test object and any temporary role/policy; do not schedule KMS key deletion without trainer approval.</w:t>
      </w:r>
    </w:p>
    <w:p>
      <w:pPr>
        <w:ind w:left="360"/>
      </w:pPr>
      <w:r>
        <w:rPr>
          <w:rFonts w:ascii="Consolas" w:hAnsi="Consolas"/>
          <w:sz w:val="17"/>
        </w:rPr>
        <w:t>bash cleanup.sh | tee evidence/cleanup.txt</w:t>
      </w:r>
    </w:p>
    <w:p>
      <w:r>
        <w:rPr>
          <w:rFonts w:ascii="Arial" w:hAnsi="Arial"/>
          <w:b w:val="0"/>
          <w:sz w:val="21"/>
        </w:rPr>
        <w:t>Evidence note: _________________________________________________</w:t>
      </w:r>
    </w:p>
    <w:p>
      <w:pPr>
        <w:pStyle w:val="Heading1"/>
      </w:pPr>
      <w:r>
        <w:rPr>
          <w:rFonts w:ascii="Arial" w:hAnsi="Arial"/>
          <w:b/>
          <w:sz w:val="21"/>
        </w:rPr>
        <w:t>Verification</w:t>
      </w:r>
    </w:p>
    <w:p>
      <w:r>
        <w:rPr>
          <w:rFonts w:ascii="Arial" w:hAnsi="Arial"/>
          <w:b w:val="0"/>
          <w:sz w:val="21"/>
        </w:rPr>
        <w:t>The decision path explains the deny, corrected policy uses exact actions/resources, encrypted-object metadata is verified, Access Analyzer reports no ERROR, and validation emits LAB 08 PASS.</w:t>
      </w:r>
    </w:p>
    <w:p>
      <w:pPr>
        <w:pStyle w:val="Heading1"/>
      </w:pPr>
      <w:r>
        <w:rPr>
          <w:rFonts w:ascii="Arial" w:hAnsi="Arial"/>
          <w:b/>
          <w:sz w:val="21"/>
        </w:rPr>
        <w:t>Acceptance criteria</w:t>
      </w:r>
    </w:p>
    <w:p>
      <w:pPr>
        <w:pStyle w:val="ListBullet"/>
      </w:pPr>
      <w:r>
        <w:rPr>
          <w:rFonts w:ascii="Arial" w:hAnsi="Arial"/>
          <w:b w:val="0"/>
          <w:sz w:val="21"/>
        </w:rPr>
        <w:t>No wildcard action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Resource scope is exact</w:t>
      </w:r>
    </w:p>
    <w:p>
      <w:pPr>
        <w:pStyle w:val="ListBullet"/>
      </w:pPr>
      <w:r>
        <w:rPr>
          <w:rFonts w:ascii="Arial" w:hAnsi="Arial"/>
          <w:b w:val="0"/>
          <w:sz w:val="21"/>
        </w:rPr>
        <w:t>KMS and S3 permissions both considered</w:t>
      </w:r>
    </w:p>
    <w:p>
      <w:pPr>
        <w:pStyle w:val="ListBullet"/>
      </w:pPr>
      <w:r>
        <w:rPr>
          <w:rFonts w:ascii="Arial" w:hAnsi="Arial"/>
          <w:b w:val="0"/>
          <w:sz w:val="21"/>
        </w:rPr>
        <w:t>Explicit deny precedence explained</w:t>
      </w:r>
    </w:p>
    <w:p>
      <w:pPr>
        <w:pStyle w:val="ListBullet"/>
      </w:pPr>
      <w:r>
        <w:rPr>
          <w:rFonts w:ascii="Arial" w:hAnsi="Arial"/>
          <w:b w:val="0"/>
          <w:sz w:val="21"/>
        </w:rPr>
        <w:t>Temporary access is removed</w:t>
      </w:r>
    </w:p>
    <w:p>
      <w:pPr>
        <w:pStyle w:val="Heading1"/>
      </w:pPr>
      <w:r>
        <w:rPr>
          <w:rFonts w:ascii="Arial" w:hAnsi="Arial"/>
          <w:b/>
          <w:sz w:val="21"/>
        </w:rPr>
        <w:t>Evidence checklist</w:t>
      </w:r>
    </w:p>
    <w:p>
      <w:r>
        <w:rPr>
          <w:rFonts w:ascii="Arial" w:hAnsi="Arial"/>
          <w:b w:val="0"/>
          <w:sz w:val="21"/>
        </w:rPr>
        <w:t>☐ Policy simulation</w:t>
      </w:r>
    </w:p>
    <w:p>
      <w:r>
        <w:rPr>
          <w:rFonts w:ascii="Arial" w:hAnsi="Arial"/>
          <w:b w:val="0"/>
          <w:sz w:val="21"/>
        </w:rPr>
        <w:t>☐ CloudTrail denied event</w:t>
      </w:r>
    </w:p>
    <w:p>
      <w:r>
        <w:rPr>
          <w:rFonts w:ascii="Arial" w:hAnsi="Arial"/>
          <w:b w:val="0"/>
          <w:sz w:val="21"/>
        </w:rPr>
        <w:t>☐ policy validation</w:t>
      </w:r>
    </w:p>
    <w:p>
      <w:r>
        <w:rPr>
          <w:rFonts w:ascii="Arial" w:hAnsi="Arial"/>
          <w:b w:val="0"/>
          <w:sz w:val="21"/>
        </w:rPr>
        <w:t>☐ encrypted object metadata</w:t>
      </w:r>
    </w:p>
    <w:p>
      <w:r>
        <w:rPr>
          <w:rFonts w:ascii="Arial" w:hAnsi="Arial"/>
          <w:b w:val="0"/>
          <w:sz w:val="21"/>
        </w:rPr>
        <w:t>☐ completed ACCESS-DECISION.md</w:t>
      </w:r>
    </w:p>
    <w:p>
      <w:r>
        <w:rPr>
          <w:rFonts w:ascii="Arial" w:hAnsi="Arial"/>
          <w:b w:val="0"/>
          <w:sz w:val="21"/>
        </w:rPr>
        <w:t>☐ JPEG evidence</w:t>
      </w:r>
    </w:p>
    <w:p>
      <w:r>
        <w:rPr>
          <w:rFonts w:ascii="Arial" w:hAnsi="Arial"/>
          <w:b w:val="0"/>
          <w:sz w:val="21"/>
        </w:rPr>
        <w:t>☐ cleanup.txt</w:t>
      </w:r>
    </w:p>
    <w:p>
      <w:pPr>
        <w:pStyle w:val="Heading1"/>
      </w:pPr>
      <w:r>
        <w:rPr>
          <w:rFonts w:ascii="Arial" w:hAnsi="Arial"/>
          <w:b/>
          <w:sz w:val="21"/>
        </w:rPr>
        <w:t>Troubleshooting</w:t>
      </w:r>
    </w:p>
    <w:p>
      <w:pPr>
        <w:pStyle w:val="ListBullet"/>
      </w:pPr>
      <w:r>
        <w:rPr>
          <w:rFonts w:ascii="Arial" w:hAnsi="Arial"/>
          <w:b w:val="0"/>
          <w:sz w:val="21"/>
        </w:rPr>
        <w:t>Check identity, Region and resource ID before changing permissions.</w:t>
      </w:r>
    </w:p>
    <w:p>
      <w:pPr>
        <w:pStyle w:val="ListBullet"/>
      </w:pPr>
      <w:r>
        <w:rPr>
          <w:rFonts w:ascii="Arial" w:hAnsi="Arial"/>
          <w:b w:val="0"/>
          <w:sz w:val="21"/>
        </w:rPr>
        <w:t>Resolve every REPLACE placeholder.</w:t>
      </w:r>
    </w:p>
    <w:p>
      <w:pPr>
        <w:pStyle w:val="ListBullet"/>
      </w:pPr>
      <w:r>
        <w:rPr>
          <w:rFonts w:ascii="Arial" w:hAnsi="Arial"/>
          <w:b w:val="0"/>
          <w:sz w:val="21"/>
        </w:rPr>
        <w:t>Preserve error output as evidence.</w:t>
      </w:r>
    </w:p>
    <w:p>
      <w:pPr>
        <w:pStyle w:val="ListBullet"/>
      </w:pPr>
      <w:r>
        <w:rPr>
          <w:rFonts w:ascii="Arial" w:hAnsi="Arial"/>
          <w:b w:val="0"/>
          <w:sz w:val="21"/>
        </w:rPr>
        <w:t>Escalate cleanup failures immediately.</w:t>
      </w:r>
    </w:p>
    <w:sectPr w:rsidR="00FC693F" w:rsidRPr="0006063C" w:rsidSect="00034616">
      <w:pgSz w:w="12240" w:h="15840"/>
      <w:pgMar w:top="144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