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6FEB"/>
          <w:sz w:val="32"/>
        </w:rPr>
        <w:t>TERTIARY INFOTECH ACADEMY</w:t>
      </w:r>
    </w:p>
    <w:p>
      <w:pPr>
        <w:jc w:val="center"/>
      </w:pPr>
      <w:r>
        <w:rPr>
          <w:rFonts w:ascii="Arial" w:hAnsi="Arial"/>
          <w:b/>
          <w:sz w:val="48"/>
        </w:rPr>
        <w:t>LAB 09</w:t>
        <w:br/>
        <w:t>Troubleshoot a VPC Connectivity Path</w:t>
      </w:r>
    </w:p>
    <w:p>
      <w:pPr>
        <w:jc w:val="center"/>
      </w:pPr>
      <w:r>
        <w:rPr>
          <w:sz w:val="22"/>
        </w:rPr>
        <w:t>AWS Certified SysOps Administrator Associate Training</w:t>
        <w:br/>
        <w:t>TGS-2024051413 · Version v6.0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sz w:val="21"/>
        </w:rPr>
        <w:t>Scenario</w:t>
      </w:r>
    </w:p>
    <w:p>
      <w:r>
        <w:rPr>
          <w:rFonts w:ascii="Arial" w:hAnsi="Arial"/>
          <w:b w:val="0"/>
          <w:sz w:val="21"/>
        </w:rPr>
        <w:t>A private application instance is healthy locally but cannot reach an approved service endpoint after a network change.</w:t>
      </w:r>
    </w:p>
    <w:p>
      <w:pPr>
        <w:pStyle w:val="Heading1"/>
      </w:pPr>
      <w:r>
        <w:rPr>
          <w:rFonts w:ascii="Arial" w:hAnsi="Arial"/>
          <w:b/>
          <w:sz w:val="21"/>
        </w:rPr>
        <w:t>Objective</w:t>
      </w:r>
    </w:p>
    <w:p>
      <w:r>
        <w:rPr>
          <w:rFonts w:ascii="Arial" w:hAnsi="Arial"/>
          <w:b w:val="0"/>
          <w:sz w:val="21"/>
        </w:rPr>
        <w:t>Apply K2 and A2 by isolating a failed request through DNS, routes, security groups, network ACLs, target health and VPC Flow Logs.</w:t>
      </w:r>
    </w:p>
    <w:p>
      <w:pPr>
        <w:pStyle w:val="Heading1"/>
      </w:pPr>
      <w:r>
        <w:rPr>
          <w:rFonts w:ascii="Arial" w:hAnsi="Arial"/>
          <w:b/>
          <w:sz w:val="21"/>
        </w:rPr>
        <w:t>Deliverable</w:t>
      </w:r>
    </w:p>
    <w:p>
      <w:r>
        <w:rPr>
          <w:rFonts w:ascii="Arial" w:hAnsi="Arial"/>
          <w:b w:val="0"/>
          <w:sz w:val="21"/>
        </w:rPr>
        <w:t>A VPC diagnostic worksheet, reachability/flow-log evidence, corrected network control and before/after result.</w:t>
      </w:r>
    </w:p>
    <w:p>
      <w:pPr>
        <w:pStyle w:val="Heading1"/>
      </w:pPr>
      <w:r>
        <w:rPr>
          <w:rFonts w:ascii="Arial" w:hAnsi="Arial"/>
          <w:b/>
          <w:sz w:val="21"/>
        </w:rPr>
        <w:t>Services and tools</w:t>
      </w:r>
    </w:p>
    <w:p>
      <w:r>
        <w:rPr>
          <w:rFonts w:ascii="Arial" w:hAnsi="Arial"/>
          <w:b w:val="0"/>
          <w:sz w:val="21"/>
        </w:rPr>
        <w:t>VPC · Reachability Analyzer · Flow Logs · Security Groups · NACLs · Endpoints</w:t>
      </w:r>
    </w:p>
    <w:p>
      <w:pPr>
        <w:pStyle w:val="Heading1"/>
      </w:pPr>
      <w:r>
        <w:rPr>
          <w:rFonts w:ascii="Arial" w:hAnsi="Arial"/>
          <w:b/>
          <w:sz w:val="21"/>
        </w:rPr>
        <w:t>Safety and cost boundary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only the trainer-authorised learner account and Region.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Replace placeholders and tag learner-owned resources.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Capture evidence before cleanup.</w:t>
      </w:r>
    </w:p>
    <w:p>
      <w:pPr>
        <w:pStyle w:val="ListBullet"/>
      </w:pPr>
      <w:r>
        <w:rPr>
          <w:rFonts w:ascii="Arial" w:hAnsi="Arial"/>
          <w:b w:val="0"/>
          <w:sz w:val="21"/>
        </w:rPr>
        <w:t>Verify deletion and report retained chargeable resources.</w:t>
      </w:r>
    </w:p>
    <w:p>
      <w:pPr>
        <w:pStyle w:val="Heading1"/>
      </w:pPr>
      <w:r>
        <w:rPr>
          <w:rFonts w:ascii="Arial" w:hAnsi="Arial"/>
          <w:b/>
          <w:sz w:val="21"/>
        </w:rPr>
        <w:t>Detailed procedure</w:t>
      </w:r>
    </w:p>
    <w:p>
      <w:pPr>
        <w:pStyle w:val="Heading2"/>
      </w:pPr>
      <w:r>
        <w:rPr>
          <w:rFonts w:ascii="Arial" w:hAnsi="Arial"/>
          <w:b/>
          <w:sz w:val="21"/>
        </w:rPr>
        <w:t>Step 1 — Review `PATH-DIAGRAM.md`; write source, destination, protocol, port, expected route and success response.</w:t>
      </w:r>
    </w:p>
    <w:p>
      <w:pPr>
        <w:ind w:left="360"/>
      </w:pPr>
      <w:r>
        <w:rPr>
          <w:rFonts w:ascii="Consolas" w:hAnsi="Consolas"/>
          <w:sz w:val="17"/>
        </w:rPr>
        <w:t>open PATH-DIAGRAM.md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2 — Run `diagnostics.sh` with the learner source and destination; retain every command result even when it fails.</w:t>
      </w:r>
    </w:p>
    <w:p>
      <w:pPr>
        <w:ind w:left="360"/>
      </w:pPr>
      <w:r>
        <w:rPr>
          <w:rFonts w:ascii="Consolas" w:hAnsi="Consolas"/>
          <w:sz w:val="17"/>
        </w:rPr>
        <w:t>bash diagnostics.sh REPLACE_SOURCE_ENI REPLACE_DESTINATION_IP | tee evidence/diagnostics.txt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3 — Confirm DNS resolution and compare the returned address with the intended private/public path.</w:t>
      </w:r>
    </w:p>
    <w:p>
      <w:pPr>
        <w:ind w:left="360"/>
      </w:pPr>
      <w:r>
        <w:rPr>
          <w:rFonts w:ascii="Consolas" w:hAnsi="Consolas"/>
          <w:sz w:val="17"/>
        </w:rPr>
        <w:t>dig +short REPLACE_HOSTNAME | tee evidence/dns.txt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4 — Inspect source and destination subnet route tables using longest-prefix-match reasoning.</w:t>
      </w:r>
    </w:p>
    <w:p>
      <w:pPr>
        <w:ind w:left="360"/>
      </w:pPr>
      <w:r>
        <w:rPr>
          <w:rFonts w:ascii="Consolas" w:hAnsi="Consolas"/>
          <w:sz w:val="17"/>
        </w:rPr>
        <w:t>aws ec2 describe-route-tables --filters Name=association.subnet-id,Values=REPLACE_SUBNET_ID | tee evidence/routes.json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5 — Inspect security-group rules in both directions and state whether return traffic is automatically allowed.</w:t>
      </w:r>
    </w:p>
    <w:p>
      <w:pPr>
        <w:ind w:left="360"/>
      </w:pPr>
      <w:r>
        <w:rPr>
          <w:rFonts w:ascii="Consolas" w:hAnsi="Consolas"/>
          <w:sz w:val="17"/>
        </w:rPr>
        <w:t>aws ec2 describe-security-groups --group-ids REPLACE_SG_ID | tee evidence/security-group.json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6 — Inspect network ACL rules by number in both directions, including ephemeral return ports.</w:t>
      </w:r>
    </w:p>
    <w:p>
      <w:pPr>
        <w:ind w:left="360"/>
      </w:pPr>
      <w:r>
        <w:rPr>
          <w:rFonts w:ascii="Consolas" w:hAnsi="Consolas"/>
          <w:sz w:val="17"/>
        </w:rPr>
        <w:t>aws ec2 describe-network-acls --filters Name=association.subnet-id,Values=REPLACE_SUBNET_ID | tee evidence/nacl.json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7 — Create or run Reachability Analyzer where supported and record the first blocking component.</w:t>
      </w:r>
    </w:p>
    <w:p>
      <w:pPr>
        <w:ind w:left="360"/>
      </w:pPr>
      <w:r>
        <w:rPr>
          <w:rFonts w:ascii="Consolas" w:hAnsi="Consolas"/>
          <w:sz w:val="17"/>
        </w:rPr>
        <w:t>aws ec2 start-network-insights-analysis --network-insights-path-id REPLACE_PATH_ID | tee evidence/reachability.json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8 — Query Flow Logs for ACCEPT/REJECT evidence correlated to source, destination, port and UTC time.</w:t>
      </w:r>
    </w:p>
    <w:p>
      <w:pPr>
        <w:ind w:left="360"/>
      </w:pPr>
      <w:r>
        <w:rPr>
          <w:rFonts w:ascii="Consolas" w:hAnsi="Consolas"/>
          <w:sz w:val="17"/>
        </w:rPr>
        <w:t>open FLOW-LOG-QUERY.txt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9 — Change only the identified learner-owned control; repeat the same test and record before/after evidence.</w:t>
      </w:r>
    </w:p>
    <w:p>
      <w:pPr>
        <w:ind w:left="360"/>
      </w:pPr>
      <w:r>
        <w:rPr>
          <w:rFonts w:ascii="Consolas" w:hAnsi="Consolas"/>
          <w:sz w:val="17"/>
        </w:rPr>
        <w:t>open DIAGNOSTIC-REPORT.md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10 — Capture route, rule and result as JPEG evidence; run validation and restore temporary changes.</w:t>
      </w:r>
    </w:p>
    <w:p>
      <w:pPr>
        <w:ind w:left="360"/>
      </w:pPr>
      <w:r>
        <w:rPr>
          <w:rFonts w:ascii="Consolas" w:hAnsi="Consolas"/>
          <w:sz w:val="17"/>
        </w:rPr>
        <w:t>open EXPECTED-ARCHITECTURE.jpg</w:t>
        <w:br/>
        <w:t>bash validate.sh</w:t>
        <w:br/>
        <w:t>bash cleanup.sh | tee evidence/cleanup.txt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1"/>
      </w:pPr>
      <w:r>
        <w:rPr>
          <w:rFonts w:ascii="Arial" w:hAnsi="Arial"/>
          <w:b/>
          <w:sz w:val="21"/>
        </w:rPr>
        <w:t>Verification</w:t>
      </w:r>
    </w:p>
    <w:p>
      <w:r>
        <w:rPr>
          <w:rFonts w:ascii="Arial" w:hAnsi="Arial"/>
          <w:b w:val="0"/>
          <w:sz w:val="21"/>
        </w:rPr>
        <w:t>The report follows the path in order, names the first failed boundary with evidence, changes one learner-owned control, verifies success with the same test, and validation emits LAB 09 PASS.</w:t>
      </w:r>
    </w:p>
    <w:p>
      <w:pPr>
        <w:pStyle w:val="Heading1"/>
      </w:pPr>
      <w:r>
        <w:rPr>
          <w:rFonts w:ascii="Arial" w:hAnsi="Arial"/>
          <w:b/>
          <w:sz w:val="21"/>
        </w:rPr>
        <w:t>Acceptance criteria</w:t>
      </w:r>
    </w:p>
    <w:p>
      <w:pPr>
        <w:pStyle w:val="ListBullet"/>
      </w:pPr>
      <w:r>
        <w:rPr>
          <w:rFonts w:ascii="Arial" w:hAnsi="Arial"/>
          <w:b w:val="0"/>
          <w:sz w:val="21"/>
        </w:rPr>
        <w:t>Source/destination/protocol/port explicit</w:t>
      </w:r>
    </w:p>
    <w:p>
      <w:pPr>
        <w:pStyle w:val="ListBullet"/>
      </w:pPr>
      <w:r>
        <w:rPr>
          <w:rFonts w:ascii="Arial" w:hAnsi="Arial"/>
          <w:b w:val="0"/>
          <w:sz w:val="21"/>
        </w:rPr>
        <w:t>Route and policy evaluated separately</w:t>
      </w:r>
    </w:p>
    <w:p>
      <w:pPr>
        <w:pStyle w:val="ListBullet"/>
      </w:pPr>
      <w:r>
        <w:rPr>
          <w:rFonts w:ascii="Arial" w:hAnsi="Arial"/>
          <w:b w:val="0"/>
          <w:sz w:val="21"/>
        </w:rPr>
        <w:t>Stateful/stateless return path explained</w:t>
      </w:r>
    </w:p>
    <w:p>
      <w:pPr>
        <w:pStyle w:val="ListBullet"/>
      </w:pPr>
      <w:r>
        <w:rPr>
          <w:rFonts w:ascii="Arial" w:hAnsi="Arial"/>
          <w:b w:val="0"/>
          <w:sz w:val="21"/>
        </w:rPr>
        <w:t>One variable changed</w:t>
      </w:r>
    </w:p>
    <w:p>
      <w:pPr>
        <w:pStyle w:val="ListBullet"/>
      </w:pPr>
      <w:r>
        <w:rPr>
          <w:rFonts w:ascii="Arial" w:hAnsi="Arial"/>
          <w:b w:val="0"/>
          <w:sz w:val="21"/>
        </w:rPr>
        <w:t>Before/after test is identical</w:t>
      </w:r>
    </w:p>
    <w:p>
      <w:pPr>
        <w:pStyle w:val="Heading1"/>
      </w:pPr>
      <w:r>
        <w:rPr>
          <w:rFonts w:ascii="Arial" w:hAnsi="Arial"/>
          <w:b/>
          <w:sz w:val="21"/>
        </w:rPr>
        <w:t>Evidence checklist</w:t>
      </w:r>
    </w:p>
    <w:p>
      <w:r>
        <w:rPr>
          <w:rFonts w:ascii="Arial" w:hAnsi="Arial"/>
          <w:b w:val="0"/>
          <w:sz w:val="21"/>
        </w:rPr>
        <w:t>☐ DNS result</w:t>
      </w:r>
    </w:p>
    <w:p>
      <w:r>
        <w:rPr>
          <w:rFonts w:ascii="Arial" w:hAnsi="Arial"/>
          <w:b w:val="0"/>
          <w:sz w:val="21"/>
        </w:rPr>
        <w:t>☐ route tables</w:t>
      </w:r>
    </w:p>
    <w:p>
      <w:r>
        <w:rPr>
          <w:rFonts w:ascii="Arial" w:hAnsi="Arial"/>
          <w:b w:val="0"/>
          <w:sz w:val="21"/>
        </w:rPr>
        <w:t>☐ security-group and NACL exports</w:t>
      </w:r>
    </w:p>
    <w:p>
      <w:r>
        <w:rPr>
          <w:rFonts w:ascii="Arial" w:hAnsi="Arial"/>
          <w:b w:val="0"/>
          <w:sz w:val="21"/>
        </w:rPr>
        <w:t>☐ reachability analysis</w:t>
      </w:r>
    </w:p>
    <w:p>
      <w:r>
        <w:rPr>
          <w:rFonts w:ascii="Arial" w:hAnsi="Arial"/>
          <w:b w:val="0"/>
          <w:sz w:val="21"/>
        </w:rPr>
        <w:t>☐ Flow Log query</w:t>
      </w:r>
    </w:p>
    <w:p>
      <w:r>
        <w:rPr>
          <w:rFonts w:ascii="Arial" w:hAnsi="Arial"/>
          <w:b w:val="0"/>
          <w:sz w:val="21"/>
        </w:rPr>
        <w:t>☐ completed diagnostic report</w:t>
      </w:r>
    </w:p>
    <w:p>
      <w:r>
        <w:rPr>
          <w:rFonts w:ascii="Arial" w:hAnsi="Arial"/>
          <w:b w:val="0"/>
          <w:sz w:val="21"/>
        </w:rPr>
        <w:t>☐ JPEG evidence</w:t>
      </w:r>
    </w:p>
    <w:p>
      <w:r>
        <w:rPr>
          <w:rFonts w:ascii="Arial" w:hAnsi="Arial"/>
          <w:b w:val="0"/>
          <w:sz w:val="21"/>
        </w:rPr>
        <w:t>☐ cleanup.txt</w:t>
      </w:r>
    </w:p>
    <w:p>
      <w:pPr>
        <w:pStyle w:val="Heading1"/>
      </w:pPr>
      <w:r>
        <w:rPr>
          <w:rFonts w:ascii="Arial" w:hAnsi="Arial"/>
          <w:b/>
          <w:sz w:val="21"/>
        </w:rPr>
        <w:t>Troubleshooting</w:t>
      </w:r>
    </w:p>
    <w:p>
      <w:pPr>
        <w:pStyle w:val="ListBullet"/>
      </w:pPr>
      <w:r>
        <w:rPr>
          <w:rFonts w:ascii="Arial" w:hAnsi="Arial"/>
          <w:b w:val="0"/>
          <w:sz w:val="21"/>
        </w:rPr>
        <w:t>Check identity, Region and resource ID before changing permissions.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Resolve every REPLACE placeholder.</w:t>
      </w:r>
    </w:p>
    <w:p>
      <w:pPr>
        <w:pStyle w:val="ListBullet"/>
      </w:pPr>
      <w:r>
        <w:rPr>
          <w:rFonts w:ascii="Arial" w:hAnsi="Arial"/>
          <w:b w:val="0"/>
          <w:sz w:val="21"/>
        </w:rPr>
        <w:t>Preserve error output as evidence.</w:t>
      </w:r>
    </w:p>
    <w:p>
      <w:pPr>
        <w:pStyle w:val="ListBullet"/>
      </w:pPr>
      <w:r>
        <w:rPr>
          <w:rFonts w:ascii="Arial" w:hAnsi="Arial"/>
          <w:b w:val="0"/>
          <w:sz w:val="21"/>
        </w:rPr>
        <w:t>Escalate cleanup failures immediately.</w:t>
      </w:r>
    </w:p>
    <w:sectPr w:rsidR="00FC693F" w:rsidRPr="0006063C" w:rsidSect="00034616">
      <w:pgSz w:w="12240" w:h="15840"/>
      <w:pgMar w:top="144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