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41"/>
          <w:sz w:val="56"/>
        </w:rPr>
        <w:t>LESSON PLAN</w:t>
        <w:br/>
      </w:r>
      <w:r>
        <w:rPr>
          <w:b/>
          <w:sz w:val="38"/>
        </w:rPr>
        <w:br/>
        <w:t>For</w:t>
        <w:br/>
        <w:br/>
        <w:t>Sustainability Reporting and Engineering Strategies for Senior Leaders</w:t>
        <w:br/>
        <w:br/>
      </w:r>
      <w:r>
        <w:t>TGS Ref No: TGS-2025052343</w:t>
        <w:br/>
        <w:br/>
        <w:t>Conducted by</w:t>
        <w:br/>
        <w:t>Tertiary Infotech Academy Pte Ltd.</w:t>
        <w:br/>
        <w:t>UEN: 201200696W</w:t>
        <w:br/>
        <w:br/>
        <w:t>Version 5.0</w:t>
        <w:br/>
        <w:t>Effective date: 01 Oct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tcPr>
          <w:p>
            <w:r>
              <w:rPr>
                <w:rFonts w:ascii="Arial" w:hAnsi="Arial"/>
                <w:b/>
                <w:sz w:val="20"/>
              </w:rPr>
              <w:t>Version</w:t>
            </w:r>
          </w:p>
        </w:tc>
        <w:tc>
          <w:tcPr>
            <w:tcW w:type="dxa" w:w="2437"/>
            <w:vAlign w:val="center"/>
          </w:tcPr>
          <w:p>
            <w:r>
              <w:rPr>
                <w:rFonts w:ascii="Arial" w:hAnsi="Arial"/>
                <w:b/>
                <w:sz w:val="20"/>
              </w:rPr>
              <w:t>Effective Date</w:t>
            </w:r>
          </w:p>
        </w:tc>
        <w:tc>
          <w:tcPr>
            <w:tcW w:type="dxa" w:w="2437"/>
            <w:vAlign w:val="center"/>
          </w:tcPr>
          <w:p>
            <w:r>
              <w:rPr>
                <w:rFonts w:ascii="Arial" w:hAnsi="Arial"/>
                <w:b/>
                <w:sz w:val="20"/>
              </w:rPr>
              <w:t>Changes</w:t>
            </w:r>
          </w:p>
        </w:tc>
        <w:tc>
          <w:tcPr>
            <w:tcW w:type="dxa" w:w="2437"/>
            <w:vAlign w:val="center"/>
          </w:tcPr>
          <w:p>
            <w:r>
              <w:rPr>
                <w:rFonts w:ascii="Arial" w:hAnsi="Arial"/>
                <w:b/>
                <w:sz w:val="20"/>
              </w:rPr>
              <w:t>Author</w:t>
            </w:r>
          </w:p>
        </w:tc>
      </w:tr>
      <w:tr>
        <w:tc>
          <w:tcPr>
            <w:tcW w:type="dxa" w:w="2437"/>
            <w:vAlign w:val="center"/>
          </w:tcPr>
          <w:p>
            <w:r>
              <w:rPr>
                <w:rFonts w:ascii="Arial" w:hAnsi="Arial"/>
                <w:b w:val="0"/>
                <w:sz w:val="20"/>
              </w:rPr>
              <w:t>1.0</w:t>
            </w:r>
          </w:p>
        </w:tc>
        <w:tc>
          <w:tcPr>
            <w:tcW w:type="dxa" w:w="2437"/>
            <w:vAlign w:val="center"/>
          </w:tcPr>
          <w:p>
            <w:r>
              <w:rPr>
                <w:rFonts w:ascii="Arial" w:hAnsi="Arial"/>
                <w:b w:val="0"/>
                <w:sz w:val="20"/>
              </w:rPr>
              <w:t>06 Mar 2025</w:t>
            </w:r>
          </w:p>
        </w:tc>
        <w:tc>
          <w:tcPr>
            <w:tcW w:type="dxa" w:w="2437"/>
            <w:vAlign w:val="center"/>
          </w:tcPr>
          <w:p>
            <w:r>
              <w:rPr>
                <w:rFonts w:ascii="Arial" w:hAnsi="Arial"/>
                <w:b w:val="0"/>
                <w:sz w:val="20"/>
              </w:rPr>
              <w:t>First version</w:t>
            </w:r>
          </w:p>
        </w:tc>
        <w:tc>
          <w:tcPr>
            <w:tcW w:type="dxa" w:w="2437"/>
            <w:vAlign w:val="center"/>
          </w:tcPr>
          <w:p>
            <w:r>
              <w:rPr>
                <w:rFonts w:ascii="Arial" w:hAnsi="Arial"/>
                <w:b w:val="0"/>
                <w:sz w:val="20"/>
              </w:rPr>
              <w:t>Tertiary Infotech Academy</w:t>
            </w:r>
          </w:p>
        </w:tc>
      </w:tr>
      <w:tr>
        <w:tc>
          <w:tcPr>
            <w:tcW w:type="dxa" w:w="2437"/>
            <w:vAlign w:val="center"/>
          </w:tcPr>
          <w:p>
            <w:r>
              <w:rPr>
                <w:rFonts w:ascii="Arial" w:hAnsi="Arial"/>
                <w:b w:val="0"/>
                <w:sz w:val="20"/>
              </w:rPr>
              <w:t>2.0</w:t>
            </w:r>
          </w:p>
        </w:tc>
        <w:tc>
          <w:tcPr>
            <w:tcW w:type="dxa" w:w="2437"/>
            <w:vAlign w:val="center"/>
          </w:tcPr>
          <w:p>
            <w:r>
              <w:rPr>
                <w:rFonts w:ascii="Arial" w:hAnsi="Arial"/>
                <w:b w:val="0"/>
                <w:sz w:val="20"/>
              </w:rPr>
              <w:t>27 May 2025</w:t>
            </w:r>
          </w:p>
        </w:tc>
        <w:tc>
          <w:tcPr>
            <w:tcW w:type="dxa" w:w="2437"/>
            <w:vAlign w:val="center"/>
          </w:tcPr>
          <w:p>
            <w:r>
              <w:rPr>
                <w:rFonts w:ascii="Arial" w:hAnsi="Arial"/>
                <w:b w:val="0"/>
                <w:sz w:val="20"/>
              </w:rPr>
              <w:t>Second version</w:t>
            </w:r>
          </w:p>
        </w:tc>
        <w:tc>
          <w:tcPr>
            <w:tcW w:type="dxa" w:w="2437"/>
            <w:vAlign w:val="center"/>
          </w:tcPr>
          <w:p>
            <w:r>
              <w:rPr>
                <w:rFonts w:ascii="Arial" w:hAnsi="Arial"/>
                <w:b w:val="0"/>
                <w:sz w:val="20"/>
              </w:rPr>
              <w:t>Tertiary Infotech Academy</w:t>
            </w:r>
          </w:p>
        </w:tc>
      </w:tr>
      <w:tr>
        <w:tc>
          <w:tcPr>
            <w:tcW w:type="dxa" w:w="2437"/>
            <w:vAlign w:val="center"/>
          </w:tcPr>
          <w:p>
            <w:r>
              <w:rPr>
                <w:rFonts w:ascii="Arial" w:hAnsi="Arial"/>
                <w:b w:val="0"/>
                <w:sz w:val="20"/>
              </w:rPr>
              <w:t>3.0</w:t>
            </w:r>
          </w:p>
        </w:tc>
        <w:tc>
          <w:tcPr>
            <w:tcW w:type="dxa" w:w="2437"/>
            <w:vAlign w:val="center"/>
          </w:tcPr>
          <w:p>
            <w:r>
              <w:rPr>
                <w:rFonts w:ascii="Arial" w:hAnsi="Arial"/>
                <w:b w:val="0"/>
                <w:sz w:val="20"/>
              </w:rPr>
              <w:t>UNKNOWN</w:t>
            </w:r>
          </w:p>
        </w:tc>
        <w:tc>
          <w:tcPr>
            <w:tcW w:type="dxa" w:w="2437"/>
            <w:vAlign w:val="center"/>
          </w:tcPr>
          <w:p>
            <w:r>
              <w:rPr>
                <w:rFonts w:ascii="Arial" w:hAnsi="Arial"/>
                <w:b w:val="0"/>
                <w:sz w:val="20"/>
              </w:rPr>
              <w:t>New format</w:t>
            </w:r>
          </w:p>
        </w:tc>
        <w:tc>
          <w:tcPr>
            <w:tcW w:type="dxa" w:w="2437"/>
            <w:vAlign w:val="center"/>
          </w:tcPr>
          <w:p>
            <w:r>
              <w:rPr>
                <w:rFonts w:ascii="Arial" w:hAnsi="Arial"/>
                <w:b w:val="0"/>
                <w:sz w:val="20"/>
              </w:rPr>
              <w:t>Tertiary Infotech Academy</w:t>
            </w:r>
          </w:p>
        </w:tc>
      </w:tr>
      <w:tr>
        <w:tc>
          <w:tcPr>
            <w:tcW w:type="dxa" w:w="2437"/>
            <w:vAlign w:val="center"/>
          </w:tcPr>
          <w:p>
            <w:r>
              <w:rPr>
                <w:rFonts w:ascii="Arial" w:hAnsi="Arial"/>
                <w:b w:val="0"/>
                <w:sz w:val="20"/>
              </w:rPr>
              <w:t>4.0</w:t>
            </w:r>
          </w:p>
        </w:tc>
        <w:tc>
          <w:tcPr>
            <w:tcW w:type="dxa" w:w="2437"/>
            <w:vAlign w:val="center"/>
          </w:tcPr>
          <w:p>
            <w:r>
              <w:rPr>
                <w:rFonts w:ascii="Arial" w:hAnsi="Arial"/>
                <w:b w:val="0"/>
                <w:sz w:val="20"/>
              </w:rPr>
              <w:t>17 Oct 2025</w:t>
            </w:r>
          </w:p>
        </w:tc>
        <w:tc>
          <w:tcPr>
            <w:tcW w:type="dxa" w:w="2437"/>
            <w:vAlign w:val="center"/>
          </w:tcPr>
          <w:p>
            <w:r>
              <w:rPr>
                <w:rFonts w:ascii="Arial" w:hAnsi="Arial"/>
                <w:b w:val="0"/>
                <w:sz w:val="20"/>
              </w:rPr>
              <w:t>Updated company name</w:t>
            </w:r>
          </w:p>
        </w:tc>
        <w:tc>
          <w:tcPr>
            <w:tcW w:type="dxa" w:w="2437"/>
            <w:vAlign w:val="center"/>
          </w:tcPr>
          <w:p>
            <w:r>
              <w:rPr>
                <w:rFonts w:ascii="Arial" w:hAnsi="Arial"/>
                <w:b w:val="0"/>
                <w:sz w:val="20"/>
              </w:rPr>
              <w:t>Tertiary Infotech Academy</w:t>
            </w:r>
          </w:p>
        </w:tc>
      </w:tr>
      <w:tr>
        <w:tc>
          <w:tcPr>
            <w:tcW w:type="dxa" w:w="2437"/>
            <w:vAlign w:val="center"/>
          </w:tcPr>
          <w:p>
            <w:r>
              <w:rPr>
                <w:rFonts w:ascii="Arial" w:hAnsi="Arial"/>
                <w:b w:val="0"/>
                <w:sz w:val="20"/>
              </w:rPr>
              <w:t>5.0</w:t>
            </w:r>
          </w:p>
        </w:tc>
        <w:tc>
          <w:tcPr>
            <w:tcW w:type="dxa" w:w="2437"/>
            <w:vAlign w:val="center"/>
          </w:tcPr>
          <w:p>
            <w:r>
              <w:rPr>
                <w:rFonts w:ascii="Arial" w:hAnsi="Arial"/>
                <w:b w:val="0"/>
                <w:sz w:val="20"/>
              </w:rPr>
              <w:t>01 Oct 2026</w:t>
            </w:r>
          </w:p>
        </w:tc>
        <w:tc>
          <w:tcPr>
            <w:tcW w:type="dxa" w:w="2437"/>
            <w:vAlign w:val="center"/>
          </w:tcPr>
          <w:p>
            <w:r>
              <w:rPr>
                <w:rFonts w:ascii="Arial" w:hAnsi="Arial"/>
                <w:b w:val="0"/>
                <w:sz w:val="20"/>
              </w:rPr>
              <w:t>Rebuilt visual trainer deck; aligned activities, detailed learner procedures, assessment mapping, references and editable charts.</w:t>
            </w:r>
          </w:p>
        </w:tc>
        <w:tc>
          <w:tcPr>
            <w:tcW w:type="dxa" w:w="2437"/>
            <w:vAlign w:val="center"/>
          </w:tcPr>
          <w:p>
            <w:r>
              <w:rPr>
                <w:rFonts w:ascii="Arial" w:hAnsi="Arial"/>
                <w:b w:val="0"/>
                <w:sz w:val="20"/>
              </w:rPr>
              <w:t>Tertiary Infotech Academy</w:t>
            </w:r>
          </w:p>
        </w:tc>
      </w:tr>
    </w:tbl>
    <w:p>
      <w:r>
        <w:br w:type="page"/>
      </w:r>
    </w:p>
    <w:p>
      <w:pPr>
        <w:pStyle w:val="Heading1"/>
      </w:pPr>
      <w:r>
        <w:t>Table of Contents</w:t>
      </w:r>
    </w:p>
    <w:p>
      <w:pPr>
        <w:tabs>
          <w:tab w:pos="9072" w:val="right" w:leader="dot"/>
        </w:tabs>
        <w:spacing w:after="60"/>
      </w:pPr>
      <w:r>
        <w:rPr>
          <w:rFonts w:ascii="Arial" w:hAnsi="Arial"/>
          <w:b/>
          <w:color w:val="333333"/>
          <w:sz w:val="22"/>
        </w:rPr>
        <w:t>Document Version Control Record</w:t>
        <w:tab/>
        <w:t>2</w:t>
      </w:r>
    </w:p>
    <w:p>
      <w:pPr>
        <w:tabs>
          <w:tab w:pos="9072" w:val="right" w:leader="dot"/>
        </w:tabs>
        <w:spacing w:after="60"/>
      </w:pPr>
      <w:r>
        <w:rPr>
          <w:rFonts w:ascii="Arial" w:hAnsi="Arial"/>
          <w:b/>
          <w:color w:val="333333"/>
          <w:sz w:val="22"/>
        </w:rPr>
        <w:t>Table of Contents</w:t>
        <w:tab/>
        <w:t>3</w:t>
      </w:r>
    </w:p>
    <w:p>
      <w:pPr>
        <w:tabs>
          <w:tab w:pos="9072" w:val="right" w:leader="dot"/>
        </w:tabs>
        <w:spacing w:after="60"/>
      </w:pPr>
      <w:r>
        <w:rPr>
          <w:rFonts w:ascii="Arial" w:hAnsi="Arial"/>
          <w:b/>
          <w:color w:val="333333"/>
          <w:sz w:val="22"/>
        </w:rPr>
        <w:t>Delivery and Assessment Summary</w:t>
        <w:tab/>
        <w:t>4</w:t>
      </w:r>
    </w:p>
    <w:p>
      <w:pPr>
        <w:tabs>
          <w:tab w:pos="9072" w:val="right" w:leader="dot"/>
        </w:tabs>
        <w:spacing w:after="60"/>
      </w:pPr>
      <w:r>
        <w:rPr>
          <w:rFonts w:ascii="Arial" w:hAnsi="Arial"/>
          <w:b/>
          <w:color w:val="333333"/>
          <w:sz w:val="22"/>
        </w:rPr>
        <w:t>Day 1</w:t>
        <w:tab/>
        <w:t>4</w:t>
      </w:r>
    </w:p>
    <w:p>
      <w:pPr>
        <w:tabs>
          <w:tab w:pos="9072" w:val="right" w:leader="dot"/>
        </w:tabs>
        <w:spacing w:after="60"/>
      </w:pPr>
      <w:r>
        <w:rPr>
          <w:rFonts w:ascii="Arial" w:hAnsi="Arial"/>
          <w:b/>
          <w:color w:val="333333"/>
          <w:sz w:val="22"/>
        </w:rPr>
        <w:t>Day 2</w:t>
        <w:tab/>
        <w:t>4</w:t>
      </w:r>
    </w:p>
    <w:p>
      <w:pPr>
        <w:tabs>
          <w:tab w:pos="9072" w:val="right" w:leader="dot"/>
        </w:tabs>
        <w:spacing w:after="60"/>
      </w:pPr>
      <w:r>
        <w:rPr>
          <w:rFonts w:ascii="Arial" w:hAnsi="Arial"/>
          <w:b/>
          <w:color w:val="333333"/>
          <w:sz w:val="22"/>
        </w:rPr>
        <w:t>Facilitation notes</w:t>
        <w:tab/>
        <w:t>4</w:t>
      </w:r>
    </w:p>
    <w:p>
      <w:r>
        <w:br w:type="page"/>
      </w:r>
    </w:p>
    <w:p>
      <w:pPr>
        <w:pStyle w:val="Heading1"/>
      </w:pPr>
      <w:r>
        <w:t>Delivery and Assessment Summary</w:t>
      </w:r>
    </w:p>
    <w:p>
      <w:r>
        <w:t>Mode: classroom facilitation. Training: 14 hours. Assessment: 2 hours. Total course duration: 16 hours over 2 days. TSC: Sustainable Engineering (EGS-EPM-6065-1.1).</w:t>
      </w:r>
    </w:p>
    <w:p>
      <w:pPr>
        <w:pStyle w:val="Heading1"/>
      </w:pPr>
      <w:r>
        <w:t>Day 1</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vAlign w:val="center"/>
          </w:tcPr>
          <w:p>
            <w:r>
              <w:rPr>
                <w:rFonts w:ascii="Arial" w:hAnsi="Arial"/>
                <w:b/>
                <w:sz w:val="18"/>
              </w:rPr>
              <w:t>Time</w:t>
            </w:r>
          </w:p>
        </w:tc>
        <w:tc>
          <w:tcPr>
            <w:tcW w:type="dxa" w:w="1950"/>
            <w:vAlign w:val="center"/>
          </w:tcPr>
          <w:p>
            <w:r>
              <w:rPr>
                <w:rFonts w:ascii="Arial" w:hAnsi="Arial"/>
                <w:b/>
                <w:sz w:val="18"/>
              </w:rPr>
              <w:t>Duration</w:t>
            </w:r>
          </w:p>
        </w:tc>
        <w:tc>
          <w:tcPr>
            <w:tcW w:type="dxa" w:w="1950"/>
            <w:vAlign w:val="center"/>
          </w:tcPr>
          <w:p>
            <w:r>
              <w:rPr>
                <w:rFonts w:ascii="Arial" w:hAnsi="Arial"/>
                <w:b/>
                <w:sz w:val="18"/>
              </w:rPr>
              <w:t>Topic / mapping</w:t>
            </w:r>
          </w:p>
        </w:tc>
        <w:tc>
          <w:tcPr>
            <w:tcW w:type="dxa" w:w="1950"/>
            <w:vAlign w:val="center"/>
          </w:tcPr>
          <w:p>
            <w:r>
              <w:rPr>
                <w:rFonts w:ascii="Arial" w:hAnsi="Arial"/>
                <w:b/>
                <w:sz w:val="18"/>
              </w:rPr>
              <w:t>Method</w:t>
            </w:r>
          </w:p>
        </w:tc>
        <w:tc>
          <w:tcPr>
            <w:tcW w:type="dxa" w:w="1950"/>
            <w:vAlign w:val="center"/>
          </w:tcPr>
          <w:p>
            <w:r>
              <w:rPr>
                <w:rFonts w:ascii="Arial" w:hAnsi="Arial"/>
                <w:b/>
                <w:sz w:val="18"/>
              </w:rPr>
              <w:t>Resource / slide</w:t>
            </w:r>
          </w:p>
        </w:tc>
      </w:tr>
      <w:tr>
        <w:tc>
          <w:tcPr>
            <w:tcW w:type="dxa" w:w="1950"/>
            <w:vAlign w:val="center"/>
          </w:tcPr>
          <w:p>
            <w:r>
              <w:rPr>
                <w:rFonts w:ascii="Arial" w:hAnsi="Arial"/>
                <w:b w:val="0"/>
                <w:sz w:val="17"/>
              </w:rPr>
              <w:t>09:30–09:35</w:t>
            </w:r>
          </w:p>
        </w:tc>
        <w:tc>
          <w:tcPr>
            <w:tcW w:type="dxa" w:w="1950"/>
            <w:vAlign w:val="center"/>
          </w:tcPr>
          <w:p>
            <w:r>
              <w:rPr>
                <w:rFonts w:ascii="Arial" w:hAnsi="Arial"/>
                <w:b w:val="0"/>
                <w:sz w:val="17"/>
              </w:rPr>
              <w:t>5 min</w:t>
            </w:r>
          </w:p>
        </w:tc>
        <w:tc>
          <w:tcPr>
            <w:tcW w:type="dxa" w:w="1950"/>
            <w:vAlign w:val="center"/>
          </w:tcPr>
          <w:p>
            <w:r>
              <w:rPr>
                <w:rFonts w:ascii="Arial" w:hAnsi="Arial"/>
                <w:b w:val="0"/>
                <w:sz w:val="17"/>
              </w:rPr>
              <w:t>Digital attendance and opening</w:t>
            </w:r>
          </w:p>
        </w:tc>
        <w:tc>
          <w:tcPr>
            <w:tcW w:type="dxa" w:w="1950"/>
            <w:vAlign w:val="center"/>
          </w:tcPr>
          <w:p>
            <w:r>
              <w:rPr>
                <w:rFonts w:ascii="Arial" w:hAnsi="Arial"/>
                <w:b w:val="0"/>
                <w:sz w:val="17"/>
              </w:rPr>
              <w:t>Admin</w:t>
            </w:r>
          </w:p>
        </w:tc>
        <w:tc>
          <w:tcPr>
            <w:tcW w:type="dxa" w:w="1950"/>
            <w:vAlign w:val="center"/>
          </w:tcPr>
          <w:p>
            <w:r>
              <w:rPr>
                <w:rFonts w:ascii="Arial" w:hAnsi="Arial"/>
                <w:b w:val="0"/>
                <w:sz w:val="17"/>
              </w:rPr>
              <w:t>Slides 1–10</w:t>
            </w:r>
          </w:p>
        </w:tc>
      </w:tr>
      <w:tr>
        <w:tc>
          <w:tcPr>
            <w:tcW w:type="dxa" w:w="1950"/>
            <w:vAlign w:val="center"/>
          </w:tcPr>
          <w:p>
            <w:r>
              <w:rPr>
                <w:rFonts w:ascii="Arial" w:hAnsi="Arial"/>
                <w:b w:val="0"/>
                <w:sz w:val="17"/>
              </w:rPr>
              <w:t>09:35–12:00</w:t>
            </w:r>
          </w:p>
        </w:tc>
        <w:tc>
          <w:tcPr>
            <w:tcW w:type="dxa" w:w="1950"/>
            <w:vAlign w:val="center"/>
          </w:tcPr>
          <w:p>
            <w:r>
              <w:rPr>
                <w:rFonts w:ascii="Arial" w:hAnsi="Arial"/>
                <w:b w:val="0"/>
                <w:sz w:val="17"/>
              </w:rPr>
              <w:t>2 h 25 min</w:t>
            </w:r>
          </w:p>
        </w:tc>
        <w:tc>
          <w:tcPr>
            <w:tcW w:type="dxa" w:w="1950"/>
            <w:vAlign w:val="center"/>
          </w:tcPr>
          <w:p>
            <w:r>
              <w:rPr>
                <w:rFonts w:ascii="Arial" w:hAnsi="Arial"/>
                <w:b w:val="0"/>
                <w:sz w:val="17"/>
              </w:rPr>
              <w:t>LU1 foundations, policy, research and engineering evidence (K1, K2, A1)</w:t>
            </w:r>
          </w:p>
        </w:tc>
        <w:tc>
          <w:tcPr>
            <w:tcW w:type="dxa" w:w="1950"/>
            <w:vAlign w:val="center"/>
          </w:tcPr>
          <w:p>
            <w:r>
              <w:rPr>
                <w:rFonts w:ascii="Arial" w:hAnsi="Arial"/>
                <w:b w:val="0"/>
                <w:sz w:val="17"/>
              </w:rPr>
              <w:t>Lecture, worked analysis, discussion</w:t>
            </w:r>
          </w:p>
        </w:tc>
        <w:tc>
          <w:tcPr>
            <w:tcW w:type="dxa" w:w="1950"/>
            <w:vAlign w:val="center"/>
          </w:tcPr>
          <w:p>
            <w:r>
              <w:rPr>
                <w:rFonts w:ascii="Arial" w:hAnsi="Arial"/>
                <w:b w:val="0"/>
                <w:sz w:val="17"/>
              </w:rPr>
              <w:t>Slides 11–60</w:t>
            </w:r>
          </w:p>
        </w:tc>
      </w:tr>
      <w:tr>
        <w:tc>
          <w:tcPr>
            <w:tcW w:type="dxa" w:w="1950"/>
            <w:vAlign w:val="center"/>
          </w:tcPr>
          <w:p>
            <w:r>
              <w:rPr>
                <w:rFonts w:ascii="Arial" w:hAnsi="Arial"/>
                <w:b w:val="0"/>
                <w:sz w:val="17"/>
              </w:rPr>
              <w:t>12:00–12:45</w:t>
            </w:r>
          </w:p>
        </w:tc>
        <w:tc>
          <w:tcPr>
            <w:tcW w:type="dxa" w:w="1950"/>
            <w:vAlign w:val="center"/>
          </w:tcPr>
          <w:p>
            <w:r>
              <w:rPr>
                <w:rFonts w:ascii="Arial" w:hAnsi="Arial"/>
                <w:b w:val="0"/>
                <w:sz w:val="17"/>
              </w:rPr>
              <w:t>45 min</w:t>
            </w:r>
          </w:p>
        </w:tc>
        <w:tc>
          <w:tcPr>
            <w:tcW w:type="dxa" w:w="1950"/>
            <w:vAlign w:val="center"/>
          </w:tcPr>
          <w:p>
            <w:r>
              <w:rPr>
                <w:rFonts w:ascii="Arial" w:hAnsi="Arial"/>
                <w:b w:val="0"/>
                <w:sz w:val="17"/>
              </w:rPr>
              <w:t>Lunch</w:t>
            </w:r>
          </w:p>
        </w:tc>
        <w:tc>
          <w:tcPr>
            <w:tcW w:type="dxa" w:w="1950"/>
            <w:vAlign w:val="center"/>
          </w:tcPr>
          <w:p>
            <w:r>
              <w:rPr>
                <w:rFonts w:ascii="Arial" w:hAnsi="Arial"/>
                <w:b w:val="0"/>
                <w:sz w:val="17"/>
              </w:rPr>
              <w:t>Break</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12:45–13:45</w:t>
            </w:r>
          </w:p>
        </w:tc>
        <w:tc>
          <w:tcPr>
            <w:tcW w:type="dxa" w:w="1950"/>
            <w:vAlign w:val="center"/>
          </w:tcPr>
          <w:p>
            <w:r>
              <w:rPr>
                <w:rFonts w:ascii="Arial" w:hAnsi="Arial"/>
                <w:b w:val="0"/>
                <w:sz w:val="17"/>
              </w:rPr>
              <w:t>1 h</w:t>
            </w:r>
          </w:p>
        </w:tc>
        <w:tc>
          <w:tcPr>
            <w:tcW w:type="dxa" w:w="1950"/>
            <w:vAlign w:val="center"/>
          </w:tcPr>
          <w:p>
            <w:r>
              <w:rPr>
                <w:rFonts w:ascii="Arial" w:hAnsi="Arial"/>
                <w:b w:val="0"/>
                <w:sz w:val="17"/>
              </w:rPr>
              <w:t>LU1 business case and endorsement controls</w:t>
            </w:r>
          </w:p>
        </w:tc>
        <w:tc>
          <w:tcPr>
            <w:tcW w:type="dxa" w:w="1950"/>
            <w:vAlign w:val="center"/>
          </w:tcPr>
          <w:p>
            <w:r>
              <w:rPr>
                <w:rFonts w:ascii="Arial" w:hAnsi="Arial"/>
                <w:b w:val="0"/>
                <w:sz w:val="17"/>
              </w:rPr>
              <w:t>Case analysis</w:t>
            </w:r>
          </w:p>
        </w:tc>
        <w:tc>
          <w:tcPr>
            <w:tcW w:type="dxa" w:w="1950"/>
            <w:vAlign w:val="center"/>
          </w:tcPr>
          <w:p>
            <w:r>
              <w:rPr>
                <w:rFonts w:ascii="Arial" w:hAnsi="Arial"/>
                <w:b w:val="0"/>
                <w:sz w:val="17"/>
              </w:rPr>
              <w:t>Slides 11–60</w:t>
            </w:r>
          </w:p>
        </w:tc>
      </w:tr>
      <w:tr>
        <w:tc>
          <w:tcPr>
            <w:tcW w:type="dxa" w:w="1950"/>
            <w:vAlign w:val="center"/>
          </w:tcPr>
          <w:p>
            <w:r>
              <w:rPr>
                <w:rFonts w:ascii="Arial" w:hAnsi="Arial"/>
                <w:b w:val="0"/>
                <w:sz w:val="17"/>
              </w:rPr>
              <w:t>13:45–14:20</w:t>
            </w:r>
          </w:p>
        </w:tc>
        <w:tc>
          <w:tcPr>
            <w:tcW w:type="dxa" w:w="1950"/>
            <w:vAlign w:val="center"/>
          </w:tcPr>
          <w:p>
            <w:r>
              <w:rPr>
                <w:rFonts w:ascii="Arial" w:hAnsi="Arial"/>
                <w:b w:val="0"/>
                <w:sz w:val="17"/>
              </w:rPr>
              <w:t>35 min</w:t>
            </w:r>
          </w:p>
        </w:tc>
        <w:tc>
          <w:tcPr>
            <w:tcW w:type="dxa" w:w="1950"/>
            <w:vAlign w:val="center"/>
          </w:tcPr>
          <w:p>
            <w:r>
              <w:rPr>
                <w:rFonts w:ascii="Arial" w:hAnsi="Arial"/>
                <w:b w:val="0"/>
                <w:sz w:val="17"/>
              </w:rPr>
              <w:t>Activity 1: engineering solution option appraisal</w:t>
            </w:r>
          </w:p>
        </w:tc>
        <w:tc>
          <w:tcPr>
            <w:tcW w:type="dxa" w:w="1950"/>
            <w:vAlign w:val="center"/>
          </w:tcPr>
          <w:p>
            <w:r>
              <w:rPr>
                <w:rFonts w:ascii="Arial" w:hAnsi="Arial"/>
                <w:b w:val="0"/>
                <w:sz w:val="17"/>
              </w:rPr>
              <w:t>Group activity</w:t>
            </w:r>
          </w:p>
        </w:tc>
        <w:tc>
          <w:tcPr>
            <w:tcW w:type="dxa" w:w="1950"/>
            <w:vAlign w:val="center"/>
          </w:tcPr>
          <w:p>
            <w:r>
              <w:rPr>
                <w:rFonts w:ascii="Arial" w:hAnsi="Arial"/>
                <w:b w:val="0"/>
                <w:sz w:val="17"/>
              </w:rPr>
              <w:t>Activity 1</w:t>
            </w:r>
          </w:p>
        </w:tc>
      </w:tr>
      <w:tr>
        <w:tc>
          <w:tcPr>
            <w:tcW w:type="dxa" w:w="1950"/>
            <w:vAlign w:val="center"/>
          </w:tcPr>
          <w:p>
            <w:r>
              <w:rPr>
                <w:rFonts w:ascii="Arial" w:hAnsi="Arial"/>
                <w:b w:val="0"/>
                <w:sz w:val="17"/>
              </w:rPr>
              <w:t>14:20–17:20</w:t>
            </w:r>
          </w:p>
        </w:tc>
        <w:tc>
          <w:tcPr>
            <w:tcW w:type="dxa" w:w="1950"/>
            <w:vAlign w:val="center"/>
          </w:tcPr>
          <w:p>
            <w:r>
              <w:rPr>
                <w:rFonts w:ascii="Arial" w:hAnsi="Arial"/>
                <w:b w:val="0"/>
                <w:sz w:val="17"/>
              </w:rPr>
              <w:t>3 h</w:t>
            </w:r>
          </w:p>
        </w:tc>
        <w:tc>
          <w:tcPr>
            <w:tcW w:type="dxa" w:w="1950"/>
            <w:vAlign w:val="center"/>
          </w:tcPr>
          <w:p>
            <w:r>
              <w:rPr>
                <w:rFonts w:ascii="Arial" w:hAnsi="Arial"/>
                <w:b w:val="0"/>
                <w:sz w:val="17"/>
              </w:rPr>
              <w:t>LU2 ESG strategy, stakeholders, risk and benchmarking (K3, A3)</w:t>
            </w:r>
          </w:p>
        </w:tc>
        <w:tc>
          <w:tcPr>
            <w:tcW w:type="dxa" w:w="1950"/>
            <w:vAlign w:val="center"/>
          </w:tcPr>
          <w:p>
            <w:r>
              <w:rPr>
                <w:rFonts w:ascii="Arial" w:hAnsi="Arial"/>
                <w:b w:val="0"/>
                <w:sz w:val="17"/>
              </w:rPr>
              <w:t>Lecture, peer sharing, editable scorecard</w:t>
            </w:r>
          </w:p>
        </w:tc>
        <w:tc>
          <w:tcPr>
            <w:tcW w:type="dxa" w:w="1950"/>
            <w:vAlign w:val="center"/>
          </w:tcPr>
          <w:p>
            <w:r>
              <w:rPr>
                <w:rFonts w:ascii="Arial" w:hAnsi="Arial"/>
                <w:b w:val="0"/>
                <w:sz w:val="17"/>
              </w:rPr>
              <w:t>Slides 61–110</w:t>
            </w:r>
          </w:p>
        </w:tc>
      </w:tr>
      <w:tr>
        <w:tc>
          <w:tcPr>
            <w:tcW w:type="dxa" w:w="1950"/>
            <w:vAlign w:val="center"/>
          </w:tcPr>
          <w:p>
            <w:r>
              <w:rPr>
                <w:rFonts w:ascii="Arial" w:hAnsi="Arial"/>
                <w:b w:val="0"/>
                <w:sz w:val="17"/>
              </w:rPr>
              <w:t>17:20–17:30</w:t>
            </w:r>
          </w:p>
        </w:tc>
        <w:tc>
          <w:tcPr>
            <w:tcW w:type="dxa" w:w="1950"/>
            <w:vAlign w:val="center"/>
          </w:tcPr>
          <w:p>
            <w:r>
              <w:rPr>
                <w:rFonts w:ascii="Arial" w:hAnsi="Arial"/>
                <w:b w:val="0"/>
                <w:sz w:val="17"/>
              </w:rPr>
              <w:t>10 min</w:t>
            </w:r>
          </w:p>
        </w:tc>
        <w:tc>
          <w:tcPr>
            <w:tcW w:type="dxa" w:w="1950"/>
            <w:vAlign w:val="center"/>
          </w:tcPr>
          <w:p>
            <w:r>
              <w:rPr>
                <w:rFonts w:ascii="Arial" w:hAnsi="Arial"/>
                <w:b w:val="0"/>
                <w:sz w:val="17"/>
              </w:rPr>
              <w:t>Afternoon break</w:t>
            </w:r>
          </w:p>
        </w:tc>
        <w:tc>
          <w:tcPr>
            <w:tcW w:type="dxa" w:w="1950"/>
            <w:vAlign w:val="center"/>
          </w:tcPr>
          <w:p>
            <w:r>
              <w:rPr>
                <w:rFonts w:ascii="Arial" w:hAnsi="Arial"/>
                <w:b w:val="0"/>
                <w:sz w:val="17"/>
              </w:rPr>
              <w:t>Break</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17:30–18:30</w:t>
            </w:r>
          </w:p>
        </w:tc>
        <w:tc>
          <w:tcPr>
            <w:tcW w:type="dxa" w:w="1950"/>
            <w:vAlign w:val="center"/>
          </w:tcPr>
          <w:p>
            <w:r>
              <w:rPr>
                <w:rFonts w:ascii="Arial" w:hAnsi="Arial"/>
                <w:b w:val="0"/>
                <w:sz w:val="17"/>
              </w:rPr>
              <w:t>1 h</w:t>
            </w:r>
          </w:p>
        </w:tc>
        <w:tc>
          <w:tcPr>
            <w:tcW w:type="dxa" w:w="1950"/>
            <w:vAlign w:val="center"/>
          </w:tcPr>
          <w:p>
            <w:r>
              <w:rPr>
                <w:rFonts w:ascii="Arial" w:hAnsi="Arial"/>
                <w:b w:val="0"/>
                <w:sz w:val="17"/>
              </w:rPr>
              <w:t>Activity 2: materiality and strategic scorecard</w:t>
            </w:r>
          </w:p>
        </w:tc>
        <w:tc>
          <w:tcPr>
            <w:tcW w:type="dxa" w:w="1950"/>
            <w:vAlign w:val="center"/>
          </w:tcPr>
          <w:p>
            <w:r>
              <w:rPr>
                <w:rFonts w:ascii="Arial" w:hAnsi="Arial"/>
                <w:b w:val="0"/>
                <w:sz w:val="17"/>
              </w:rPr>
              <w:t>Case activity</w:t>
            </w:r>
          </w:p>
        </w:tc>
        <w:tc>
          <w:tcPr>
            <w:tcW w:type="dxa" w:w="1950"/>
            <w:vAlign w:val="center"/>
          </w:tcPr>
          <w:p>
            <w:r>
              <w:rPr>
                <w:rFonts w:ascii="Arial" w:hAnsi="Arial"/>
                <w:b w:val="0"/>
                <w:sz w:val="17"/>
              </w:rPr>
              <w:t>Activity 2</w:t>
            </w:r>
          </w:p>
        </w:tc>
      </w:tr>
    </w:tbl>
    <w:p>
      <w:pPr>
        <w:pStyle w:val="Heading1"/>
      </w:pPr>
      <w:r>
        <w:t>Day 2</w:t>
      </w:r>
    </w:p>
    <w:tbl>
      <w:tblPr>
        <w:tblStyle w:val="TableGrid"/>
        <w:tblW w:type="auto" w:w="0"/>
        <w:tblLook w:firstColumn="1" w:firstRow="1" w:lastColumn="0" w:lastRow="0" w:noHBand="0" w:noVBand="1" w:val="04A0"/>
      </w:tblPr>
      <w:tblGrid>
        <w:gridCol w:w="1950"/>
        <w:gridCol w:w="1950"/>
        <w:gridCol w:w="1950"/>
        <w:gridCol w:w="1950"/>
        <w:gridCol w:w="1950"/>
      </w:tblGrid>
      <w:tr>
        <w:tc>
          <w:tcPr>
            <w:tcW w:type="dxa" w:w="1950"/>
            <w:vAlign w:val="center"/>
          </w:tcPr>
          <w:p>
            <w:r>
              <w:rPr>
                <w:rFonts w:ascii="Arial" w:hAnsi="Arial"/>
                <w:b/>
                <w:sz w:val="18"/>
              </w:rPr>
              <w:t>Time</w:t>
            </w:r>
          </w:p>
        </w:tc>
        <w:tc>
          <w:tcPr>
            <w:tcW w:type="dxa" w:w="1950"/>
            <w:vAlign w:val="center"/>
          </w:tcPr>
          <w:p>
            <w:r>
              <w:rPr>
                <w:rFonts w:ascii="Arial" w:hAnsi="Arial"/>
                <w:b/>
                <w:sz w:val="18"/>
              </w:rPr>
              <w:t>Duration</w:t>
            </w:r>
          </w:p>
        </w:tc>
        <w:tc>
          <w:tcPr>
            <w:tcW w:type="dxa" w:w="1950"/>
            <w:vAlign w:val="center"/>
          </w:tcPr>
          <w:p>
            <w:r>
              <w:rPr>
                <w:rFonts w:ascii="Arial" w:hAnsi="Arial"/>
                <w:b/>
                <w:sz w:val="18"/>
              </w:rPr>
              <w:t>Topic / mapping</w:t>
            </w:r>
          </w:p>
        </w:tc>
        <w:tc>
          <w:tcPr>
            <w:tcW w:type="dxa" w:w="1950"/>
            <w:vAlign w:val="center"/>
          </w:tcPr>
          <w:p>
            <w:r>
              <w:rPr>
                <w:rFonts w:ascii="Arial" w:hAnsi="Arial"/>
                <w:b/>
                <w:sz w:val="18"/>
              </w:rPr>
              <w:t>Method</w:t>
            </w:r>
          </w:p>
        </w:tc>
        <w:tc>
          <w:tcPr>
            <w:tcW w:type="dxa" w:w="1950"/>
            <w:vAlign w:val="center"/>
          </w:tcPr>
          <w:p>
            <w:r>
              <w:rPr>
                <w:rFonts w:ascii="Arial" w:hAnsi="Arial"/>
                <w:b/>
                <w:sz w:val="18"/>
              </w:rPr>
              <w:t>Resource / slide</w:t>
            </w:r>
          </w:p>
        </w:tc>
      </w:tr>
      <w:tr>
        <w:tc>
          <w:tcPr>
            <w:tcW w:type="dxa" w:w="1950"/>
            <w:vAlign w:val="center"/>
          </w:tcPr>
          <w:p>
            <w:r>
              <w:rPr>
                <w:rFonts w:ascii="Arial" w:hAnsi="Arial"/>
                <w:b w:val="0"/>
                <w:sz w:val="17"/>
              </w:rPr>
              <w:t>09:30–09:35</w:t>
            </w:r>
          </w:p>
        </w:tc>
        <w:tc>
          <w:tcPr>
            <w:tcW w:type="dxa" w:w="1950"/>
            <w:vAlign w:val="center"/>
          </w:tcPr>
          <w:p>
            <w:r>
              <w:rPr>
                <w:rFonts w:ascii="Arial" w:hAnsi="Arial"/>
                <w:b w:val="0"/>
                <w:sz w:val="17"/>
              </w:rPr>
              <w:t>5 min</w:t>
            </w:r>
          </w:p>
        </w:tc>
        <w:tc>
          <w:tcPr>
            <w:tcW w:type="dxa" w:w="1950"/>
            <w:vAlign w:val="center"/>
          </w:tcPr>
          <w:p>
            <w:r>
              <w:rPr>
                <w:rFonts w:ascii="Arial" w:hAnsi="Arial"/>
                <w:b w:val="0"/>
                <w:sz w:val="17"/>
              </w:rPr>
              <w:t>Digital attendance</w:t>
            </w:r>
          </w:p>
        </w:tc>
        <w:tc>
          <w:tcPr>
            <w:tcW w:type="dxa" w:w="1950"/>
            <w:vAlign w:val="center"/>
          </w:tcPr>
          <w:p>
            <w:r>
              <w:rPr>
                <w:rFonts w:ascii="Arial" w:hAnsi="Arial"/>
                <w:b w:val="0"/>
                <w:sz w:val="17"/>
              </w:rPr>
              <w:t>Admin</w:t>
            </w:r>
          </w:p>
        </w:tc>
        <w:tc>
          <w:tcPr>
            <w:tcW w:type="dxa" w:w="1950"/>
            <w:vAlign w:val="center"/>
          </w:tcPr>
          <w:p>
            <w:r>
              <w:rPr>
                <w:rFonts w:ascii="Arial" w:hAnsi="Arial"/>
                <w:b w:val="0"/>
                <w:sz w:val="17"/>
              </w:rPr>
              <w:t>Slides 2, 111</w:t>
            </w:r>
          </w:p>
        </w:tc>
      </w:tr>
      <w:tr>
        <w:tc>
          <w:tcPr>
            <w:tcW w:type="dxa" w:w="1950"/>
            <w:vAlign w:val="center"/>
          </w:tcPr>
          <w:p>
            <w:r>
              <w:rPr>
                <w:rFonts w:ascii="Arial" w:hAnsi="Arial"/>
                <w:b w:val="0"/>
                <w:sz w:val="17"/>
              </w:rPr>
              <w:t>09:35–12:00</w:t>
            </w:r>
          </w:p>
        </w:tc>
        <w:tc>
          <w:tcPr>
            <w:tcW w:type="dxa" w:w="1950"/>
            <w:vAlign w:val="center"/>
          </w:tcPr>
          <w:p>
            <w:r>
              <w:rPr>
                <w:rFonts w:ascii="Arial" w:hAnsi="Arial"/>
                <w:b w:val="0"/>
                <w:sz w:val="17"/>
              </w:rPr>
              <w:t>2 h 25 min</w:t>
            </w:r>
          </w:p>
        </w:tc>
        <w:tc>
          <w:tcPr>
            <w:tcW w:type="dxa" w:w="1950"/>
            <w:vAlign w:val="center"/>
          </w:tcPr>
          <w:p>
            <w:r>
              <w:rPr>
                <w:rFonts w:ascii="Arial" w:hAnsi="Arial"/>
                <w:b w:val="0"/>
                <w:sz w:val="17"/>
              </w:rPr>
              <w:t>LU3 reporting, evidence, assurance and compliance (K4, A2)</w:t>
            </w:r>
          </w:p>
        </w:tc>
        <w:tc>
          <w:tcPr>
            <w:tcW w:type="dxa" w:w="1950"/>
            <w:vAlign w:val="center"/>
          </w:tcPr>
          <w:p>
            <w:r>
              <w:rPr>
                <w:rFonts w:ascii="Arial" w:hAnsi="Arial"/>
                <w:b w:val="0"/>
                <w:sz w:val="17"/>
              </w:rPr>
              <w:t>Lecture, crosswalk, worked controls</w:t>
            </w:r>
          </w:p>
        </w:tc>
        <w:tc>
          <w:tcPr>
            <w:tcW w:type="dxa" w:w="1950"/>
            <w:vAlign w:val="center"/>
          </w:tcPr>
          <w:p>
            <w:r>
              <w:rPr>
                <w:rFonts w:ascii="Arial" w:hAnsi="Arial"/>
                <w:b w:val="0"/>
                <w:sz w:val="17"/>
              </w:rPr>
              <w:t>Slides 111–160</w:t>
            </w:r>
          </w:p>
        </w:tc>
      </w:tr>
      <w:tr>
        <w:tc>
          <w:tcPr>
            <w:tcW w:type="dxa" w:w="1950"/>
            <w:vAlign w:val="center"/>
          </w:tcPr>
          <w:p>
            <w:r>
              <w:rPr>
                <w:rFonts w:ascii="Arial" w:hAnsi="Arial"/>
                <w:b w:val="0"/>
                <w:sz w:val="17"/>
              </w:rPr>
              <w:t>12:00–12:45</w:t>
            </w:r>
          </w:p>
        </w:tc>
        <w:tc>
          <w:tcPr>
            <w:tcW w:type="dxa" w:w="1950"/>
            <w:vAlign w:val="center"/>
          </w:tcPr>
          <w:p>
            <w:r>
              <w:rPr>
                <w:rFonts w:ascii="Arial" w:hAnsi="Arial"/>
                <w:b w:val="0"/>
                <w:sz w:val="17"/>
              </w:rPr>
              <w:t>45 min</w:t>
            </w:r>
          </w:p>
        </w:tc>
        <w:tc>
          <w:tcPr>
            <w:tcW w:type="dxa" w:w="1950"/>
            <w:vAlign w:val="center"/>
          </w:tcPr>
          <w:p>
            <w:r>
              <w:rPr>
                <w:rFonts w:ascii="Arial" w:hAnsi="Arial"/>
                <w:b w:val="0"/>
                <w:sz w:val="17"/>
              </w:rPr>
              <w:t>Lunch</w:t>
            </w:r>
          </w:p>
        </w:tc>
        <w:tc>
          <w:tcPr>
            <w:tcW w:type="dxa" w:w="1950"/>
            <w:vAlign w:val="center"/>
          </w:tcPr>
          <w:p>
            <w:r>
              <w:rPr>
                <w:rFonts w:ascii="Arial" w:hAnsi="Arial"/>
                <w:b w:val="0"/>
                <w:sz w:val="17"/>
              </w:rPr>
              <w:t>Break</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12:45–13:20</w:t>
            </w:r>
          </w:p>
        </w:tc>
        <w:tc>
          <w:tcPr>
            <w:tcW w:type="dxa" w:w="1950"/>
            <w:vAlign w:val="center"/>
          </w:tcPr>
          <w:p>
            <w:r>
              <w:rPr>
                <w:rFonts w:ascii="Arial" w:hAnsi="Arial"/>
                <w:b w:val="0"/>
                <w:sz w:val="17"/>
              </w:rPr>
              <w:t>35 min</w:t>
            </w:r>
          </w:p>
        </w:tc>
        <w:tc>
          <w:tcPr>
            <w:tcW w:type="dxa" w:w="1950"/>
            <w:vAlign w:val="center"/>
          </w:tcPr>
          <w:p>
            <w:r>
              <w:rPr>
                <w:rFonts w:ascii="Arial" w:hAnsi="Arial"/>
                <w:b w:val="0"/>
                <w:sz w:val="17"/>
              </w:rPr>
              <w:t>Activity 3: disclosure control and compliance crosswalk</w:t>
            </w:r>
          </w:p>
        </w:tc>
        <w:tc>
          <w:tcPr>
            <w:tcW w:type="dxa" w:w="1950"/>
            <w:vAlign w:val="center"/>
          </w:tcPr>
          <w:p>
            <w:r>
              <w:rPr>
                <w:rFonts w:ascii="Arial" w:hAnsi="Arial"/>
                <w:b w:val="0"/>
                <w:sz w:val="17"/>
              </w:rPr>
              <w:t>Case activity</w:t>
            </w:r>
          </w:p>
        </w:tc>
        <w:tc>
          <w:tcPr>
            <w:tcW w:type="dxa" w:w="1950"/>
            <w:vAlign w:val="center"/>
          </w:tcPr>
          <w:p>
            <w:r>
              <w:rPr>
                <w:rFonts w:ascii="Arial" w:hAnsi="Arial"/>
                <w:b w:val="0"/>
                <w:sz w:val="17"/>
              </w:rPr>
              <w:t>Activity 3</w:t>
            </w:r>
          </w:p>
        </w:tc>
      </w:tr>
      <w:tr>
        <w:tc>
          <w:tcPr>
            <w:tcW w:type="dxa" w:w="1950"/>
            <w:vAlign w:val="center"/>
          </w:tcPr>
          <w:p>
            <w:r>
              <w:rPr>
                <w:rFonts w:ascii="Arial" w:hAnsi="Arial"/>
                <w:b w:val="0"/>
                <w:sz w:val="17"/>
              </w:rPr>
              <w:t>13:20–15:00</w:t>
            </w:r>
          </w:p>
        </w:tc>
        <w:tc>
          <w:tcPr>
            <w:tcW w:type="dxa" w:w="1950"/>
            <w:vAlign w:val="center"/>
          </w:tcPr>
          <w:p>
            <w:r>
              <w:rPr>
                <w:rFonts w:ascii="Arial" w:hAnsi="Arial"/>
                <w:b w:val="0"/>
                <w:sz w:val="17"/>
              </w:rPr>
              <w:t>1 h 40 min</w:t>
            </w:r>
          </w:p>
        </w:tc>
        <w:tc>
          <w:tcPr>
            <w:tcW w:type="dxa" w:w="1950"/>
            <w:vAlign w:val="center"/>
          </w:tcPr>
          <w:p>
            <w:r>
              <w:rPr>
                <w:rFonts w:ascii="Arial" w:hAnsi="Arial"/>
                <w:b w:val="0"/>
                <w:sz w:val="17"/>
              </w:rPr>
              <w:t>LU4 circular economy and supply chains (K5, A4)</w:t>
            </w:r>
          </w:p>
        </w:tc>
        <w:tc>
          <w:tcPr>
            <w:tcW w:type="dxa" w:w="1950"/>
            <w:vAlign w:val="center"/>
          </w:tcPr>
          <w:p>
            <w:r>
              <w:rPr>
                <w:rFonts w:ascii="Arial" w:hAnsi="Arial"/>
                <w:b w:val="0"/>
                <w:sz w:val="17"/>
              </w:rPr>
              <w:t>Lecture, material flow analysis</w:t>
            </w:r>
          </w:p>
        </w:tc>
        <w:tc>
          <w:tcPr>
            <w:tcW w:type="dxa" w:w="1950"/>
            <w:vAlign w:val="center"/>
          </w:tcPr>
          <w:p>
            <w:r>
              <w:rPr>
                <w:rFonts w:ascii="Arial" w:hAnsi="Arial"/>
                <w:b w:val="0"/>
                <w:sz w:val="17"/>
              </w:rPr>
              <w:t>Slides 161–190</w:t>
            </w:r>
          </w:p>
        </w:tc>
      </w:tr>
      <w:tr>
        <w:tc>
          <w:tcPr>
            <w:tcW w:type="dxa" w:w="1950"/>
            <w:vAlign w:val="center"/>
          </w:tcPr>
          <w:p>
            <w:r>
              <w:rPr>
                <w:rFonts w:ascii="Arial" w:hAnsi="Arial"/>
                <w:b w:val="0"/>
                <w:sz w:val="17"/>
              </w:rPr>
              <w:t>15:00–15:10</w:t>
            </w:r>
          </w:p>
        </w:tc>
        <w:tc>
          <w:tcPr>
            <w:tcW w:type="dxa" w:w="1950"/>
            <w:vAlign w:val="center"/>
          </w:tcPr>
          <w:p>
            <w:r>
              <w:rPr>
                <w:rFonts w:ascii="Arial" w:hAnsi="Arial"/>
                <w:b w:val="0"/>
                <w:sz w:val="17"/>
              </w:rPr>
              <w:t>10 min</w:t>
            </w:r>
          </w:p>
        </w:tc>
        <w:tc>
          <w:tcPr>
            <w:tcW w:type="dxa" w:w="1950"/>
            <w:vAlign w:val="center"/>
          </w:tcPr>
          <w:p>
            <w:r>
              <w:rPr>
                <w:rFonts w:ascii="Arial" w:hAnsi="Arial"/>
                <w:b w:val="0"/>
                <w:sz w:val="17"/>
              </w:rPr>
              <w:t>Afternoon break</w:t>
            </w:r>
          </w:p>
        </w:tc>
        <w:tc>
          <w:tcPr>
            <w:tcW w:type="dxa" w:w="1950"/>
            <w:vAlign w:val="center"/>
          </w:tcPr>
          <w:p>
            <w:r>
              <w:rPr>
                <w:rFonts w:ascii="Arial" w:hAnsi="Arial"/>
                <w:b w:val="0"/>
                <w:sz w:val="17"/>
              </w:rPr>
              <w:t>Break</w:t>
            </w:r>
          </w:p>
        </w:tc>
        <w:tc>
          <w:tcPr>
            <w:tcW w:type="dxa" w:w="1950"/>
            <w:vAlign w:val="center"/>
          </w:tcPr>
          <w:p>
            <w:r>
              <w:rPr>
                <w:rFonts w:ascii="Arial" w:hAnsi="Arial"/>
                <w:b w:val="0"/>
                <w:sz w:val="17"/>
              </w:rPr>
              <w:t>—</w:t>
            </w:r>
          </w:p>
        </w:tc>
      </w:tr>
      <w:tr>
        <w:tc>
          <w:tcPr>
            <w:tcW w:type="dxa" w:w="1950"/>
            <w:vAlign w:val="center"/>
          </w:tcPr>
          <w:p>
            <w:r>
              <w:rPr>
                <w:rFonts w:ascii="Arial" w:hAnsi="Arial"/>
                <w:b w:val="0"/>
                <w:sz w:val="17"/>
              </w:rPr>
              <w:t>15:10–16:30</w:t>
            </w:r>
          </w:p>
        </w:tc>
        <w:tc>
          <w:tcPr>
            <w:tcW w:type="dxa" w:w="1950"/>
            <w:vAlign w:val="center"/>
          </w:tcPr>
          <w:p>
            <w:r>
              <w:rPr>
                <w:rFonts w:ascii="Arial" w:hAnsi="Arial"/>
                <w:b w:val="0"/>
                <w:sz w:val="17"/>
              </w:rPr>
              <w:t>1 h 20 min</w:t>
            </w:r>
          </w:p>
        </w:tc>
        <w:tc>
          <w:tcPr>
            <w:tcW w:type="dxa" w:w="1950"/>
            <w:vAlign w:val="center"/>
          </w:tcPr>
          <w:p>
            <w:r>
              <w:rPr>
                <w:rFonts w:ascii="Arial" w:hAnsi="Arial"/>
                <w:b w:val="0"/>
                <w:sz w:val="17"/>
              </w:rPr>
              <w:t>LU4 carbon portfolio and competitive strategy</w:t>
            </w:r>
          </w:p>
        </w:tc>
        <w:tc>
          <w:tcPr>
            <w:tcW w:type="dxa" w:w="1950"/>
            <w:vAlign w:val="center"/>
          </w:tcPr>
          <w:p>
            <w:r>
              <w:rPr>
                <w:rFonts w:ascii="Arial" w:hAnsi="Arial"/>
                <w:b w:val="0"/>
                <w:sz w:val="17"/>
              </w:rPr>
              <w:t>Lecture, editable pathway chart, discussion</w:t>
            </w:r>
          </w:p>
        </w:tc>
        <w:tc>
          <w:tcPr>
            <w:tcW w:type="dxa" w:w="1950"/>
            <w:vAlign w:val="center"/>
          </w:tcPr>
          <w:p>
            <w:r>
              <w:rPr>
                <w:rFonts w:ascii="Arial" w:hAnsi="Arial"/>
                <w:b w:val="0"/>
                <w:sz w:val="17"/>
              </w:rPr>
              <w:t>Slides 191–210</w:t>
            </w:r>
          </w:p>
        </w:tc>
      </w:tr>
      <w:tr>
        <w:tc>
          <w:tcPr>
            <w:tcW w:type="dxa" w:w="1950"/>
            <w:vAlign w:val="center"/>
          </w:tcPr>
          <w:p>
            <w:r>
              <w:rPr>
                <w:rFonts w:ascii="Arial" w:hAnsi="Arial"/>
                <w:b w:val="0"/>
                <w:sz w:val="17"/>
              </w:rPr>
              <w:t>16:30–17:30</w:t>
            </w:r>
          </w:p>
        </w:tc>
        <w:tc>
          <w:tcPr>
            <w:tcW w:type="dxa" w:w="1950"/>
            <w:vAlign w:val="center"/>
          </w:tcPr>
          <w:p>
            <w:r>
              <w:rPr>
                <w:rFonts w:ascii="Arial" w:hAnsi="Arial"/>
                <w:b w:val="0"/>
                <w:sz w:val="17"/>
              </w:rPr>
              <w:t>1 h</w:t>
            </w:r>
          </w:p>
        </w:tc>
        <w:tc>
          <w:tcPr>
            <w:tcW w:type="dxa" w:w="1950"/>
            <w:vAlign w:val="center"/>
          </w:tcPr>
          <w:p>
            <w:r>
              <w:rPr>
                <w:rFonts w:ascii="Arial" w:hAnsi="Arial"/>
                <w:b w:val="0"/>
                <w:sz w:val="17"/>
              </w:rPr>
              <w:t>WA-SAQ assessment: 5 questions, K1–K5</w:t>
            </w:r>
          </w:p>
        </w:tc>
        <w:tc>
          <w:tcPr>
            <w:tcW w:type="dxa" w:w="1950"/>
            <w:vAlign w:val="center"/>
          </w:tcPr>
          <w:p>
            <w:r>
              <w:rPr>
                <w:rFonts w:ascii="Arial" w:hAnsi="Arial"/>
                <w:b w:val="0"/>
                <w:sz w:val="17"/>
              </w:rPr>
              <w:t>Individual assessment</w:t>
            </w:r>
          </w:p>
        </w:tc>
        <w:tc>
          <w:tcPr>
            <w:tcW w:type="dxa" w:w="1950"/>
            <w:vAlign w:val="center"/>
          </w:tcPr>
          <w:p>
            <w:r>
              <w:rPr>
                <w:rFonts w:ascii="Arial" w:hAnsi="Arial"/>
                <w:b w:val="0"/>
                <w:sz w:val="17"/>
              </w:rPr>
              <w:t>Assessment paper</w:t>
            </w:r>
          </w:p>
        </w:tc>
      </w:tr>
      <w:tr>
        <w:tc>
          <w:tcPr>
            <w:tcW w:type="dxa" w:w="1950"/>
            <w:vAlign w:val="center"/>
          </w:tcPr>
          <w:p>
            <w:r>
              <w:rPr>
                <w:rFonts w:ascii="Arial" w:hAnsi="Arial"/>
                <w:b w:val="0"/>
                <w:sz w:val="17"/>
              </w:rPr>
              <w:t>17:30–18:30</w:t>
            </w:r>
          </w:p>
        </w:tc>
        <w:tc>
          <w:tcPr>
            <w:tcW w:type="dxa" w:w="1950"/>
            <w:vAlign w:val="center"/>
          </w:tcPr>
          <w:p>
            <w:r>
              <w:rPr>
                <w:rFonts w:ascii="Arial" w:hAnsi="Arial"/>
                <w:b w:val="0"/>
                <w:sz w:val="17"/>
              </w:rPr>
              <w:t>1 h</w:t>
            </w:r>
          </w:p>
        </w:tc>
        <w:tc>
          <w:tcPr>
            <w:tcW w:type="dxa" w:w="1950"/>
            <w:vAlign w:val="center"/>
          </w:tcPr>
          <w:p>
            <w:r>
              <w:rPr>
                <w:rFonts w:ascii="Arial" w:hAnsi="Arial"/>
                <w:b w:val="0"/>
                <w:sz w:val="17"/>
              </w:rPr>
              <w:t>Case Study: 4 tasks, A1/A3/A2/A4</w:t>
            </w:r>
          </w:p>
        </w:tc>
        <w:tc>
          <w:tcPr>
            <w:tcW w:type="dxa" w:w="1950"/>
            <w:vAlign w:val="center"/>
          </w:tcPr>
          <w:p>
            <w:r>
              <w:rPr>
                <w:rFonts w:ascii="Arial" w:hAnsi="Arial"/>
                <w:b w:val="0"/>
                <w:sz w:val="17"/>
              </w:rPr>
              <w:t>Individual assessment</w:t>
            </w:r>
          </w:p>
        </w:tc>
        <w:tc>
          <w:tcPr>
            <w:tcW w:type="dxa" w:w="1950"/>
            <w:vAlign w:val="center"/>
          </w:tcPr>
          <w:p>
            <w:r>
              <w:rPr>
                <w:rFonts w:ascii="Arial" w:hAnsi="Arial"/>
                <w:b w:val="0"/>
                <w:sz w:val="17"/>
              </w:rPr>
              <w:t>Assessment paper</w:t>
            </w:r>
          </w:p>
        </w:tc>
      </w:tr>
    </w:tbl>
    <w:p>
      <w:pPr>
        <w:pStyle w:val="Heading1"/>
      </w:pPr>
      <w:r>
        <w:t>Facilitation notes</w:t>
      </w:r>
    </w:p>
    <w:p>
      <w:r>
        <w:t>Slides show models, evidence, worked calculations and decision controls. Detailed procedures stay in the Learner Guide and activity folders. During debrief, require learners to identify the evidence boundary, calculation rule, decision threshold, control owner and residual uncertainty. Never display completed learner assessment records.</w:t>
      </w:r>
    </w:p>
    <w:sectPr w:rsidR="00FC693F" w:rsidRPr="0006063C" w:rsidSect="00034616">
      <w:footerReference w:type="default" r:id="rId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TGS-2025052343 | Lesson Plan | Page </w:t>
    </w:r>
    <w:r>
      <w:fldChar w:fldCharType="begin"/>
      <w:instrText xml:space="preserve">PAGE</w:instrText>
      <w:fldChar w:fldCharType="end"/>
    </w:r>
    <w: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3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3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53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