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White Belt (CLSSWB) Training  ·  TGS-2025053210</w:t>
            </w:r>
          </w:p>
        </w:tc>
      </w:tr>
    </w:tbl>
    <w:p>
      <w:r>
        <w:rPr>
          <w:b/>
          <w:color w:val="1F6FEB"/>
          <w:sz w:val="24"/>
        </w:rPr>
        <w:t>ACTIVITY 4 — CHECKLIST</w:t>
      </w:r>
    </w:p>
    <w:p>
      <w:r>
        <w:rPr>
          <w:b/>
          <w:color w:val="111827"/>
          <w:sz w:val="30"/>
        </w:rPr>
        <w:t>Improve — Choose and Pilot a Countermeasure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Hands-on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Improve — Fix the Cause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Improve — Choose and Pilot a Countermeasure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At least six countermeasures were generated before any was judged.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countermeasure addresses the root cause from Activity 3, not the symptom.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All options are plotted on the grid and exactly ONE is selected.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selection sits in the high-impact, low-effort corner, or is justified if not.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standard work is short numbered steps with a done/not-done check.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pilot plan names a measure, a baseline, an owner and a review date.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group can say what the Thursday result reveals.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countermeasure that addresses the Activity 3 root cause, a completed impact/effort grid with one selection, numbered standard work with a done/not-done check, and a pilot plan naming a measure, an owner and a review date.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White Belt (CLSSWB) Training · TGS-2025053210 · Version v7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