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Training  ·  TGS-2025053210</w:t>
            </w:r>
          </w:p>
        </w:tc>
      </w:tr>
    </w:tbl>
    <w:p>
      <w:r>
        <w:rPr>
          <w:b/>
          <w:color w:val="1F6FEB"/>
          <w:sz w:val="24"/>
        </w:rPr>
        <w:t>ACTIVITY 5 — CHECKLIST</w:t>
      </w:r>
    </w:p>
    <w:p>
      <w:r>
        <w:rPr>
          <w:b/>
          <w:color w:val="111827"/>
          <w:sz w:val="30"/>
        </w:rPr>
        <w:t>Control — Hold the Gain and Hand Over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Control — Hold the Gain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Control — Hold the Gain and Hand Over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One control measure is chosen and the reason for choosing it is stated.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control plan names a measure, a target, a frequency, a place and ONE owner.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reaction plan says what to DO, not 'investigate' or 'escalate'.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group can name the day in week 3 their plan would have triggered 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visual board shows a run of the measure, not just today's number.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SOP is numbered steps with a done/not-done check.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one-page summary tells the complete DMAIC story and names the process owner.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CONTROL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control plan naming a measure, target, frequency and a single named owner; a reaction plan that says what to DO; and a one-page summary telling the complete DMAIC story from problem to named handover.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White Belt (CLSSWB) Training · TGS-2025053210 · Version v7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