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Training  ·  TGS-2025053210</w:t>
            </w:r>
          </w:p>
        </w:tc>
      </w:tr>
    </w:tbl>
    <w:p>
      <w:r>
        <w:rPr>
          <w:b/>
          <w:color w:val="1F6FEB"/>
          <w:sz w:val="24"/>
        </w:rPr>
        <w:t>ACTIVITY 2 — CHECKLIST</w:t>
      </w:r>
    </w:p>
    <w:p>
      <w:r>
        <w:rPr>
          <w:b/>
          <w:color w:val="111827"/>
          <w:sz w:val="30"/>
        </w:rPr>
        <w:t>Measure — Map the Process and Spot the Waste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Measure — See What Is Really Happening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Measure — Map the Process and Spot the Waste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SIPOC has all five columns filled and the Process column holds 5-7 steps only.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process step on the map carries an observed time.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step is marked VA or NVA with a one-line justification.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data column is correctly classified as discrete, continuous or categorical.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eight DOWNTIME rows are complete, each tagged to a process step and a count.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baseline figures are written down: average wait, longest wait, % over promise, remakes.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SIPOC with all five columns filled, a process map with every step timed and judged VA or NVA, a complete DOWNTIME tally tied to evidence, and the written baseline figures.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Training · TGS-2025053210 · Version v4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