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3 — CHECKLIST</w:t>
      </w:r>
    </w:p>
    <w:p>
      <w:r>
        <w:rPr>
          <w:b/>
          <w:color w:val="111827"/>
          <w:sz w:val="30"/>
        </w:rPr>
        <w:t>Analyze — Find the Root Cause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Lab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Analyze — Find the Cause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Analyze — Find the Root Cause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5 Whys chain ends in something the team can actually act on.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chain blames a process, not a named person.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Every Fishbone cause sits under one of the five categories.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vital few are named, with the cumulative percentage quoted from the Pareto.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Each cause is labelled common cause or special cause.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shortlisted cause is backed by a stated observation, not an opinion.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group can show a 5 Whys chain ending in an actionable process cause, a Fishbone with causes sorted into the five categories, and two or three shortlisted causes each backed by a stated observation.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White Belt (CLSSWB) Training · TGS-2025053210 · Version v4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