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4 — CHECKLIST</w:t>
      </w:r>
    </w:p>
    <w:p>
      <w:r>
        <w:rPr>
          <w:b/>
          <w:color w:val="111827"/>
          <w:sz w:val="30"/>
        </w:rPr>
        <w:t>Improve — Choose and Pilot a Countermeasure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Improve — Fix the Cause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Improve — Choose and Pilot a Countermeasure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At least six countermeasures were generated before any was judged.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countermeasure addresses the root cause from Lab 3, not the symptom.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All options are plotted on the grid and exactly ONE is selected.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selection sits in the high-impact, low-effort corner, or is justified if not.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standard work is short numbered steps with a done/not-done check.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pilot plan names a measure, a baseline, an owner and a review date.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group can say what the Thursday result reveals.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countermeasure that addresses the Lab 3 root cause, a completed impact/effort grid with one selection, numbered standard work with a done/not-done check, and a pilot plan naming a measure, an owner and a review date.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v4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