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5 — CHECKLIST</w:t>
      </w:r>
    </w:p>
    <w:p>
      <w:r>
        <w:rPr>
          <w:b/>
          <w:color w:val="111827"/>
          <w:sz w:val="30"/>
        </w:rPr>
        <w:t>Control — Hold the Gain and Hand Over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Lab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Control — Hold the Gain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Control — Hold the Gain and Hand Over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One control measure is chosen and the reason for choosing it is stated.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control plan names a measure, a target, a frequency, a place and ONE owner.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reaction plan says what to DO, not 'investigate' or 'escalate'.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group can name the day in week 3 their plan would have triggered 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visual board shows a run of the measure, not just today's number.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SOP is numbered steps with a done/not-done check.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one-page summary tells the complete DMAIC story and names the process owner.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control plan naming a measure, target, frequency and a single named owner; a reaction plan that says what to DO; and a one-page summary telling the complete DMAIC story from problem to named handover.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v4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