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Certified Lean Six Sigma White Belt (CLSSWB) Training</w:t>
      </w:r>
    </w:p>
    <w:p>
      <w:pPr>
        <w:spacing w:before="80" w:after="280"/>
        <w:jc w:val="center"/>
      </w:pPr>
      <w:r>
        <w:rPr>
          <w:b w:val="0"/>
          <w:color w:val="111827"/>
          <w:sz w:val="24"/>
        </w:rPr>
        <w:t>TGS Ref No: TGS-2025053210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July 2026</w:t>
            </w:r>
          </w:p>
        </w:tc>
        <w:tc>
          <w:tcPr>
            <w:tcW w:type="dxa" w:w="2160"/>
          </w:tcPr>
          <w:p>
            <w:r/>
            <w:r>
              <w:rPr>
                <w:sz w:val="19"/>
              </w:rPr>
              <w:t>Initial release — CLSSWB 1-day lesson plan for the Lean Six Sigma awareness course.</w:t>
            </w:r>
          </w:p>
        </w:tc>
        <w:tc>
          <w:tcPr>
            <w:tcW w:type="dxa" w:w="2160"/>
          </w:tcPr>
          <w:p>
            <w:r/>
            <w:r>
              <w:rPr>
                <w:sz w:val="19"/>
              </w:rPr>
              <w:t>Dr. Alfred Ang</w:t>
            </w:r>
          </w:p>
        </w:tc>
      </w:tr>
      <w:tr>
        <w:tc>
          <w:tcPr>
            <w:tcW w:type="dxa" w:w="2160"/>
          </w:tcPr>
          <w:p>
            <w:r/>
            <w:r>
              <w:rPr>
                <w:sz w:val="19"/>
              </w:rPr>
              <w:t>2</w:t>
            </w:r>
          </w:p>
        </w:tc>
        <w:tc>
          <w:tcPr>
            <w:tcW w:type="dxa" w:w="2160"/>
          </w:tcPr>
          <w:p>
            <w:r/>
            <w:r>
              <w:rPr>
                <w:sz w:val="19"/>
              </w:rPr>
              <w:t>23 September 2026</w:t>
            </w:r>
          </w:p>
        </w:tc>
        <w:tc>
          <w:tcPr>
            <w:tcW w:type="dxa" w:w="2160"/>
          </w:tcPr>
          <w:p>
            <w:r/>
            <w:r>
              <w:rPr>
                <w:sz w:val="19"/>
              </w:rPr>
              <w:t>Lesson plan rebuilt from the single-source content module. Schedule restructured to follow the DMAIC roadmap end to end within one 8-hour training day, with exactly one hands-on lab per DMAIC phase (5 labs) on a single continuous scenario. Content simplified to White Belt awareness depth: sigma-level and DPMO calculation, MSA, FMEA, value stream mapping, Kano analysis, weighted solution-selection matrices and SPC control limits removed. Assessment aligned to the TMS record: WA (SAQ, 30 min) plus Case Study (30 min); slide references added to the schedule.</w:t>
            </w:r>
          </w:p>
        </w:tc>
        <w:tc>
          <w:tcPr>
            <w:tcW w:type="dxa" w:w="2160"/>
          </w:tcPr>
          <w:p>
            <w:r/>
            <w:r>
              <w:rPr>
                <w:sz w:val="19"/>
              </w:rPr>
              <w:t>Dr. Alfred Ang</w:t>
            </w:r>
          </w:p>
        </w:tc>
      </w:tr>
      <w:tr>
        <w:tc>
          <w:tcPr>
            <w:tcW w:type="dxa" w:w="2160"/>
          </w:tcPr>
          <w:p>
            <w:r/>
            <w:r>
              <w:rPr>
                <w:sz w:val="19"/>
              </w:rPr>
              <w:t>3</w:t>
            </w:r>
          </w:p>
        </w:tc>
        <w:tc>
          <w:tcPr>
            <w:tcW w:type="dxa" w:w="2160"/>
          </w:tcPr>
          <w:p>
            <w:r/>
            <w:r>
              <w:rPr>
                <w:sz w:val="19"/>
              </w:rPr>
              <w:t>23 September 2026</w:t>
            </w:r>
          </w:p>
        </w:tc>
        <w:tc>
          <w:tcPr>
            <w:tcW w:type="dxa" w:w="2160"/>
          </w:tcPr>
          <w:p>
            <w:r/>
            <w:r>
              <w:rPr>
                <w:sz w:val="19"/>
              </w:rPr>
              <w:t>Lab data pack added: each lab is now a self-contained folder with its mock dataset (CSV + Excel), blank templates, a worked model answer and facilitator notes. The Lab Reference table now shows the data pack issued for each lab, and the lab steps reference the specific data and template files the learner works from.</w:t>
            </w:r>
          </w:p>
        </w:tc>
        <w:tc>
          <w:tcPr>
            <w:tcW w:type="dxa" w:w="2160"/>
          </w:tcPr>
          <w:p>
            <w:r/>
            <w:r>
              <w:rPr>
                <w:sz w:val="19"/>
              </w:rPr>
              <w:t>Dr. Alfred Ang</w:t>
            </w:r>
          </w:p>
        </w:tc>
      </w:tr>
      <w:tr>
        <w:tc>
          <w:tcPr>
            <w:tcW w:type="dxa" w:w="2160"/>
          </w:tcPr>
          <w:p>
            <w:r/>
            <w:r>
              <w:rPr>
                <w:sz w:val="19"/>
              </w:rPr>
              <w:t>4</w:t>
            </w:r>
          </w:p>
        </w:tc>
        <w:tc>
          <w:tcPr>
            <w:tcW w:type="dxa" w:w="2160"/>
          </w:tcPr>
          <w:p>
            <w:r/>
            <w:r>
              <w:rPr>
                <w:sz w:val="19"/>
              </w:rPr>
              <w:t>23 September 2026</w:t>
            </w:r>
          </w:p>
        </w:tc>
        <w:tc>
          <w:tcPr>
            <w:tcW w:type="dxa" w:w="2160"/>
          </w:tcPr>
          <w:p>
            <w:r/>
            <w:r>
              <w:rPr>
                <w:sz w:val="19"/>
              </w:rPr>
              <w:t>Labs restructured into the house ACTIVITY format: activities/ replaces labs/, one folder per activity named 'NN - Title', each holding the Facilitator Guide, Learner Worksheet and Checklist as DOCX and PDF plus its data pack. Lab Reference table relabelled to Activity Reference.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Lean Six Sigma foundations and the full DMAIC roadmap, with assessment</w:t>
        <w:tab/>
        <w:t>5</w:t>
      </w:r>
    </w:p>
    <w:p>
      <w:pPr>
        <w:tabs>
          <w:tab w:pos="9072" w:val="right" w:leader="dot"/>
        </w:tabs>
        <w:spacing w:after="60"/>
      </w:pPr>
      <w:r>
        <w:rPr>
          <w:rFonts w:ascii="Arial" w:hAnsi="Arial"/>
          <w:b/>
          <w:color w:val="333333"/>
          <w:sz w:val="22"/>
        </w:rPr>
        <w:t>Activity Reference (aligned to the DMAIC phases)</w:t>
        <w:tab/>
        <w:t>7</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Certified Lean Six Sigma White Belt (CLSSWB) Training</w:t>
            </w:r>
          </w:p>
        </w:tc>
      </w:tr>
      <w:tr>
        <w:tc>
          <w:tcPr>
            <w:tcW w:type="dxa" w:w="4320"/>
            <w:shd w:val="clear" w:color="auto" w:fill="E8F0FE"/>
          </w:tcPr>
          <w:p>
            <w:r/>
            <w:r>
              <w:rPr>
                <w:b/>
                <w:sz w:val="20"/>
              </w:rPr>
              <w:t>WSQ Course Reference</w:t>
            </w:r>
          </w:p>
        </w:tc>
        <w:tc>
          <w:tcPr>
            <w:tcW w:type="dxa" w:w="4320"/>
          </w:tcPr>
          <w:p>
            <w:r/>
            <w:r>
              <w:rPr>
                <w:sz w:val="20"/>
              </w:rPr>
              <w:t>TGS-2025053210</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1 day · 8 training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Lean Six Sigma labs using the BrewBean Cafe morning rush improvement scenario</w:t>
            </w:r>
          </w:p>
        </w:tc>
      </w:tr>
      <w:tr>
        <w:tc>
          <w:tcPr>
            <w:tcW w:type="dxa" w:w="4320"/>
            <w:shd w:val="clear" w:color="auto" w:fill="E8F0FE"/>
          </w:tcPr>
          <w:p>
            <w:r/>
            <w:r>
              <w:rPr>
                <w:b/>
                <w:sz w:val="20"/>
              </w:rPr>
              <w:t>TSC Alignment</w:t>
            </w:r>
          </w:p>
        </w:tc>
        <w:tc>
          <w:tcPr>
            <w:tcW w:type="dxa" w:w="4320"/>
          </w:tcPr>
          <w:p>
            <w:r/>
            <w:r>
              <w:rPr>
                <w:sz w:val="20"/>
              </w:rPr>
              <w:t>Quality Process Control (ELE-QUA-5006-1.1)</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Describe the core concepts of quality, Lean, Six Sigma and Lean Six Sigma, and the belt roles in an improvement team.</w:t>
      </w:r>
    </w:p>
    <w:p>
      <w:pPr>
        <w:pStyle w:val="ListBullet"/>
      </w:pPr>
      <w:r>
        <w:rPr>
          <w:sz w:val="21"/>
        </w:rPr>
        <w:t>LO2: Explain the five phases of the DMAIC roadmap and what happens in each.</w:t>
      </w:r>
    </w:p>
    <w:p>
      <w:pPr>
        <w:pStyle w:val="ListBullet"/>
      </w:pPr>
      <w:r>
        <w:rPr>
          <w:sz w:val="21"/>
        </w:rPr>
        <w:t>LO3: Identify customer requirements and a clear problem statement in the Define phase.</w:t>
      </w:r>
    </w:p>
    <w:p>
      <w:pPr>
        <w:pStyle w:val="ListBullet"/>
      </w:pPr>
      <w:r>
        <w:rPr>
          <w:sz w:val="21"/>
        </w:rPr>
        <w:t>LO4: Describe how a process is mapped and measured, and identify the eight wastes in the Measure phase.</w:t>
      </w:r>
    </w:p>
    <w:p>
      <w:pPr>
        <w:pStyle w:val="ListBullet"/>
      </w:pPr>
      <w:r>
        <w:rPr>
          <w:sz w:val="21"/>
        </w:rPr>
        <w:t>LO5: Identify likely causes of a problem using 5 Whys and Fishbone analysis in the Analyze phase.</w:t>
      </w:r>
    </w:p>
    <w:p>
      <w:pPr>
        <w:pStyle w:val="ListBullet"/>
      </w:pPr>
      <w:r>
        <w:rPr>
          <w:sz w:val="21"/>
        </w:rPr>
        <w:t>LO6: Describe common improvement and control actions that fix a cause and hold the gain.</w:t>
      </w:r>
    </w:p>
    <w:p>
      <w:pPr>
        <w:pStyle w:val="Heading1"/>
      </w:pPr>
      <w:r>
        <w:t>Assessment</w:t>
      </w:r>
    </w:p>
    <w:p>
      <w:pPr>
        <w:pStyle w:val="ListBullet"/>
      </w:pPr>
      <w:r>
        <w:rPr>
          <w:sz w:val="21"/>
        </w:rPr>
        <w:t>Written Assessment (WA) — Short-Answer Questions (SAQ), 30 minutes, open book.</w:t>
      </w:r>
    </w:p>
    <w:p>
      <w:pPr>
        <w:pStyle w:val="ListBullet"/>
      </w:pPr>
      <w:r>
        <w:rPr>
          <w:sz w:val="21"/>
        </w:rPr>
        <w:t>Case Study (CS) — applied Lean Six Sigma scenario tasks, 30 minutes, open book.</w:t>
      </w:r>
    </w:p>
    <w:p>
      <w:pPr>
        <w:pStyle w:val="ListBullet"/>
      </w:pPr>
      <w:r>
        <w:rPr>
          <w:sz w:val="21"/>
        </w:rPr>
        <w:t>Format: Open Book — course slides, Learner Guide and approved materials only.</w:t>
      </w:r>
    </w:p>
    <w:p>
      <w:pPr>
        <w:pStyle w:val="ListBullet"/>
      </w:pPr>
      <w:r>
        <w:rPr>
          <w:sz w:val="21"/>
        </w:rPr>
        <w:t>Final assessment is conducted on Day 1 from 5:30 pm.</w:t>
      </w:r>
    </w:p>
    <w:p>
      <w:pPr>
        <w:pStyle w:val="ListBullet"/>
      </w:pPr>
      <w:r>
        <w:rPr>
          <w:sz w:val="21"/>
        </w:rPr>
        <w:t>A minimum of 75% attendance is required to be eligible for assessment and funding.</w:t>
      </w:r>
    </w:p>
    <w:p>
      <w:pPr>
        <w:pStyle w:val="Heading1"/>
      </w:pPr>
      <w:r>
        <w:t>Course Schedule</w:t>
      </w:r>
    </w:p>
    <w:p>
      <w:pPr>
        <w:pStyle w:val="Heading2"/>
      </w:pPr>
      <w:r>
        <w:t>Day 1 — Lean Six Sigma foundations and the full DMAIC roadmap, with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9:30–10:00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Welcome, course introduction, ground rules and mandatory digital attendance (AM)  [slides 2–15]</w:t>
            </w:r>
          </w:p>
        </w:tc>
      </w:tr>
      <w:tr>
        <w:tc>
          <w:tcPr>
            <w:tcW w:type="dxa" w:w="1656"/>
            <w:shd w:val="clear" w:color="auto" w:fill="E8F0FE"/>
          </w:tcPr>
          <w:p>
            <w:r/>
            <w:r>
              <w:rPr>
                <w:rFonts w:ascii="Arial" w:hAnsi="Arial"/>
                <w:b/>
                <w:sz w:val="19"/>
              </w:rPr>
              <w:t>10:00–11:00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FOUNDATIONS — What is Quality; What is Lean; What is Six Sigma; Lean vs Six Sigma vs Lean Six Sigma; the belt roles and where a White Belt contributes; the DMAIC roadmap  [slides 16–26]</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11:15–12:00</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DMAIC · DEFINE — Voice of the Customer; VOC to CTQ translation; problem statements; SMART goals; the project charter and scope  [slides 27–39]</w:t>
            </w:r>
          </w:p>
        </w:tc>
      </w:tr>
      <w:tr>
        <w:tc>
          <w:tcPr>
            <w:tcW w:type="dxa" w:w="1656"/>
          </w:tcPr>
          <w:p>
            <w:r/>
            <w:r>
              <w:rPr>
                <w:rFonts w:ascii="Arial" w:hAnsi="Arial"/>
                <w:b w:val="0"/>
                <w:sz w:val="19"/>
              </w:rPr>
              <w:t>12:00–12:30</w:t>
            </w:r>
          </w:p>
        </w:tc>
        <w:tc>
          <w:tcPr>
            <w:tcW w:type="dxa" w:w="1296"/>
          </w:tcPr>
          <w:p>
            <w:r/>
            <w:r>
              <w:rPr>
                <w:rFonts w:ascii="Arial" w:hAnsi="Arial"/>
                <w:b w:val="0"/>
                <w:sz w:val="19"/>
              </w:rPr>
              <w:t>30 min</w:t>
            </w:r>
          </w:p>
        </w:tc>
        <w:tc>
          <w:tcPr>
            <w:tcW w:type="dxa" w:w="6840"/>
          </w:tcPr>
          <w:p>
            <w:r/>
            <w:r>
              <w:rPr>
                <w:rFonts w:ascii="Arial" w:hAnsi="Arial"/>
                <w:b w:val="0"/>
                <w:sz w:val="19"/>
              </w:rPr>
              <w:t>Hands-on Activity: Activity 1: Define — Customer Requirements and the Problem Statement  [slides 40–46]</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E8F0FE"/>
          </w:tcPr>
          <w:p>
            <w:r/>
            <w:r>
              <w:rPr>
                <w:rFonts w:ascii="Arial" w:hAnsi="Arial"/>
                <w:b/>
                <w:sz w:val="19"/>
              </w:rPr>
              <w:t>13:30–14:15</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DMAIC · MEASURE — process mapping; SIPOC; types of data; data collection plans; check sheets; the eight wastes (DOWNTIME); value-added analysis  [slides 47–58]</w:t>
            </w:r>
          </w:p>
        </w:tc>
      </w:tr>
      <w:tr>
        <w:tc>
          <w:tcPr>
            <w:tcW w:type="dxa" w:w="1656"/>
          </w:tcPr>
          <w:p>
            <w:r/>
            <w:r>
              <w:rPr>
                <w:rFonts w:ascii="Arial" w:hAnsi="Arial"/>
                <w:b w:val="0"/>
                <w:sz w:val="19"/>
              </w:rPr>
              <w:t>14:15–14:45</w:t>
            </w:r>
          </w:p>
        </w:tc>
        <w:tc>
          <w:tcPr>
            <w:tcW w:type="dxa" w:w="1296"/>
          </w:tcPr>
          <w:p>
            <w:r/>
            <w:r>
              <w:rPr>
                <w:rFonts w:ascii="Arial" w:hAnsi="Arial"/>
                <w:b w:val="0"/>
                <w:sz w:val="19"/>
              </w:rPr>
              <w:t>30 min</w:t>
            </w:r>
          </w:p>
        </w:tc>
        <w:tc>
          <w:tcPr>
            <w:tcW w:type="dxa" w:w="6840"/>
          </w:tcPr>
          <w:p>
            <w:r/>
            <w:r>
              <w:rPr>
                <w:rFonts w:ascii="Arial" w:hAnsi="Arial"/>
                <w:b w:val="0"/>
                <w:sz w:val="19"/>
              </w:rPr>
              <w:t>Hands-on Activity: Activity 2: Measure — Map the Process and Spot the Waste  [slides 59–66]</w:t>
            </w:r>
          </w:p>
        </w:tc>
      </w:tr>
      <w:tr>
        <w:tc>
          <w:tcPr>
            <w:tcW w:type="dxa" w:w="1656"/>
            <w:shd w:val="clear" w:color="auto" w:fill="E8F0FE"/>
          </w:tcPr>
          <w:p>
            <w:r/>
            <w:r>
              <w:rPr>
                <w:rFonts w:ascii="Arial" w:hAnsi="Arial"/>
                <w:b/>
                <w:sz w:val="19"/>
              </w:rPr>
              <w:t>14:45–15:30</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DMAIC · ANALYZE — symptom vs root cause; 5 Whys; Fishbone (5M); reading a Pareto chart; common vs special cause variation  [slides 67–78]</w:t>
            </w:r>
          </w:p>
        </w:tc>
      </w:tr>
      <w:tr>
        <w:tc>
          <w:tcPr>
            <w:tcW w:type="dxa" w:w="1656"/>
            <w:shd w:val="clear" w:color="auto" w:fill="FFF4E5"/>
          </w:tcPr>
          <w:p>
            <w:r/>
            <w:r>
              <w:rPr>
                <w:rFonts w:ascii="Arial" w:hAnsi="Arial"/>
                <w:b w:val="0"/>
                <w:sz w:val="19"/>
              </w:rPr>
              <w:t>15:30–15:45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15:45–16:15</w:t>
            </w:r>
          </w:p>
        </w:tc>
        <w:tc>
          <w:tcPr>
            <w:tcW w:type="dxa" w:w="1296"/>
          </w:tcPr>
          <w:p>
            <w:r/>
            <w:r>
              <w:rPr>
                <w:rFonts w:ascii="Arial" w:hAnsi="Arial"/>
                <w:b w:val="0"/>
                <w:sz w:val="19"/>
              </w:rPr>
              <w:t>30 min</w:t>
            </w:r>
          </w:p>
        </w:tc>
        <w:tc>
          <w:tcPr>
            <w:tcW w:type="dxa" w:w="6840"/>
          </w:tcPr>
          <w:p>
            <w:r/>
            <w:r>
              <w:rPr>
                <w:rFonts w:ascii="Arial" w:hAnsi="Arial"/>
                <w:b w:val="0"/>
                <w:sz w:val="19"/>
              </w:rPr>
              <w:t>Hands-on Activity: Activity 3: Analyze — Find the Root Cause using the 5 Whys and Fishbone tools  [slides 79–86]</w:t>
            </w:r>
          </w:p>
        </w:tc>
      </w:tr>
      <w:tr>
        <w:tc>
          <w:tcPr>
            <w:tcW w:type="dxa" w:w="1656"/>
            <w:shd w:val="clear" w:color="auto" w:fill="E8F0FE"/>
          </w:tcPr>
          <w:p>
            <w:r/>
            <w:r>
              <w:rPr>
                <w:rFonts w:ascii="Arial" w:hAnsi="Arial"/>
                <w:b/>
                <w:sz w:val="19"/>
              </w:rPr>
              <w:t>16:15–16:35</w:t>
            </w:r>
          </w:p>
        </w:tc>
        <w:tc>
          <w:tcPr>
            <w:tcW w:type="dxa" w:w="1296"/>
            <w:shd w:val="clear" w:color="auto" w:fill="E8F0FE"/>
          </w:tcPr>
          <w:p>
            <w:r/>
            <w:r>
              <w:rPr>
                <w:rFonts w:ascii="Arial" w:hAnsi="Arial"/>
                <w:b w:val="0"/>
                <w:sz w:val="19"/>
              </w:rPr>
              <w:t>20 min</w:t>
            </w:r>
          </w:p>
        </w:tc>
        <w:tc>
          <w:tcPr>
            <w:tcW w:type="dxa" w:w="6840"/>
            <w:shd w:val="clear" w:color="auto" w:fill="E8F0FE"/>
          </w:tcPr>
          <w:p>
            <w:r/>
            <w:r>
              <w:rPr>
                <w:rFonts w:ascii="Arial" w:hAnsi="Arial"/>
                <w:b/>
                <w:sz w:val="19"/>
              </w:rPr>
              <w:t>DMAIC · IMPROVE — generating solutions; impact/effort screening; 5S; mistake proofing (Poka-Yoke); standard work; piloting  [slides 87–97]. Hands-on: Activity 4: Improve — Choose and Pilot a Countermeasure  [slides 98–105]</w:t>
            </w:r>
          </w:p>
        </w:tc>
      </w:tr>
      <w:tr>
        <w:tc>
          <w:tcPr>
            <w:tcW w:type="dxa" w:w="1656"/>
            <w:shd w:val="clear" w:color="auto" w:fill="E8F0FE"/>
          </w:tcPr>
          <w:p>
            <w:r/>
            <w:r>
              <w:rPr>
                <w:rFonts w:ascii="Arial" w:hAnsi="Arial"/>
                <w:b/>
                <w:sz w:val="19"/>
              </w:rPr>
              <w:t>16:35–16:55</w:t>
            </w:r>
          </w:p>
        </w:tc>
        <w:tc>
          <w:tcPr>
            <w:tcW w:type="dxa" w:w="1296"/>
            <w:shd w:val="clear" w:color="auto" w:fill="E8F0FE"/>
          </w:tcPr>
          <w:p>
            <w:r/>
            <w:r>
              <w:rPr>
                <w:rFonts w:ascii="Arial" w:hAnsi="Arial"/>
                <w:b w:val="0"/>
                <w:sz w:val="19"/>
              </w:rPr>
              <w:t>20 min</w:t>
            </w:r>
          </w:p>
        </w:tc>
        <w:tc>
          <w:tcPr>
            <w:tcW w:type="dxa" w:w="6840"/>
            <w:shd w:val="clear" w:color="auto" w:fill="E8F0FE"/>
          </w:tcPr>
          <w:p>
            <w:r/>
            <w:r>
              <w:rPr>
                <w:rFonts w:ascii="Arial" w:hAnsi="Arial"/>
                <w:b/>
                <w:sz w:val="19"/>
              </w:rPr>
              <w:t>DMAIC · CONTROL — the control plan; visual management; SOPs; team huddles; handover  [slides 106–114]. Hands-on: Activity 5: Control — Hold the Gain and Hand Over  [slides 115–122]</w:t>
            </w:r>
          </w:p>
        </w:tc>
      </w:tr>
      <w:tr>
        <w:tc>
          <w:tcPr>
            <w:tcW w:type="dxa" w:w="1656"/>
            <w:shd w:val="clear" w:color="auto" w:fill="E8F7EE"/>
          </w:tcPr>
          <w:p>
            <w:r/>
            <w:r>
              <w:rPr>
                <w:rFonts w:ascii="Arial" w:hAnsi="Arial"/>
                <w:b/>
                <w:sz w:val="19"/>
              </w:rPr>
              <w:t>16:55–17:30</w:t>
            </w:r>
          </w:p>
        </w:tc>
        <w:tc>
          <w:tcPr>
            <w:tcW w:type="dxa" w:w="1296"/>
            <w:shd w:val="clear" w:color="auto" w:fill="E8F7EE"/>
          </w:tcPr>
          <w:p>
            <w:r/>
            <w:r>
              <w:rPr>
                <w:rFonts w:ascii="Arial" w:hAnsi="Arial"/>
                <w:b w:val="0"/>
                <w:sz w:val="19"/>
              </w:rPr>
              <w:t>35 min</w:t>
            </w:r>
          </w:p>
        </w:tc>
        <w:tc>
          <w:tcPr>
            <w:tcW w:type="dxa" w:w="6840"/>
            <w:shd w:val="clear" w:color="auto" w:fill="E8F7EE"/>
          </w:tcPr>
          <w:p>
            <w:r/>
            <w:r>
              <w:rPr>
                <w:rFonts w:ascii="Arial" w:hAnsi="Arial"/>
                <w:b/>
                <w:sz w:val="19"/>
              </w:rPr>
              <w:t>Course recap, revision and Briefing for Assessment  [slides 123–133]</w:t>
            </w:r>
          </w:p>
        </w:tc>
      </w:tr>
      <w:tr>
        <w:tc>
          <w:tcPr>
            <w:tcW w:type="dxa" w:w="1656"/>
            <w:shd w:val="clear" w:color="auto" w:fill="E8F7EE"/>
          </w:tcPr>
          <w:p>
            <w:r/>
            <w:r>
              <w:rPr>
                <w:rFonts w:ascii="Arial" w:hAnsi="Arial"/>
                <w:b/>
                <w:sz w:val="19"/>
              </w:rPr>
              <w:t>17:30–18:00</w:t>
            </w:r>
          </w:p>
        </w:tc>
        <w:tc>
          <w:tcPr>
            <w:tcW w:type="dxa" w:w="1296"/>
            <w:shd w:val="clear" w:color="auto" w:fill="E8F7EE"/>
          </w:tcPr>
          <w:p>
            <w:r/>
            <w:r>
              <w:rPr>
                <w:rFonts w:ascii="Arial" w:hAnsi="Arial"/>
                <w:b w:val="0"/>
                <w:sz w:val="19"/>
              </w:rPr>
              <w:t>30 min</w:t>
            </w:r>
          </w:p>
        </w:tc>
        <w:tc>
          <w:tcPr>
            <w:tcW w:type="dxa" w:w="6840"/>
            <w:shd w:val="clear" w:color="auto" w:fill="E8F7EE"/>
          </w:tcPr>
          <w:p>
            <w:r/>
            <w:r>
              <w:rPr>
                <w:rFonts w:ascii="Arial" w:hAnsi="Arial"/>
                <w:b/>
                <w:sz w:val="19"/>
              </w:rPr>
              <w:t>Written Assessment (WA) — Short-Answer Questions (SAQ), 30 minutes, open book</w:t>
            </w:r>
          </w:p>
        </w:tc>
      </w:tr>
      <w:tr>
        <w:tc>
          <w:tcPr>
            <w:tcW w:type="dxa" w:w="1656"/>
            <w:shd w:val="clear" w:color="auto" w:fill="E8F7EE"/>
          </w:tcPr>
          <w:p>
            <w:r/>
            <w:r>
              <w:rPr>
                <w:rFonts w:ascii="Arial" w:hAnsi="Arial"/>
                <w:b/>
                <w:sz w:val="19"/>
              </w:rPr>
              <w:t>18:00–18:30</w:t>
            </w:r>
          </w:p>
        </w:tc>
        <w:tc>
          <w:tcPr>
            <w:tcW w:type="dxa" w:w="1296"/>
            <w:shd w:val="clear" w:color="auto" w:fill="E8F7EE"/>
          </w:tcPr>
          <w:p>
            <w:r/>
            <w:r>
              <w:rPr>
                <w:rFonts w:ascii="Arial" w:hAnsi="Arial"/>
                <w:b w:val="0"/>
                <w:sz w:val="19"/>
              </w:rPr>
              <w:t>30 min</w:t>
            </w:r>
          </w:p>
        </w:tc>
        <w:tc>
          <w:tcPr>
            <w:tcW w:type="dxa" w:w="6840"/>
            <w:shd w:val="clear" w:color="auto" w:fill="E8F7EE"/>
          </w:tcPr>
          <w:p>
            <w:r/>
            <w:r>
              <w:rPr>
                <w:rFonts w:ascii="Arial" w:hAnsi="Arial"/>
                <w:b/>
                <w:sz w:val="19"/>
              </w:rPr>
              <w:t>Case Study (CS) — applied Lean Six Sigma scenario tasks, 30 minutes, open book. PM digital attendance</w:t>
            </w:r>
          </w:p>
        </w:tc>
      </w:tr>
    </w:tbl>
    <w:p>
      <w:r>
        <w:rPr>
          <w:i/>
          <w:color w:val="555B66"/>
          <w:sz w:val="19"/>
        </w:rPr>
        <w:t>Total training time: 480 minutes (8 hours).</w:t>
      </w:r>
    </w:p>
    <w:p>
      <w:pPr>
        <w:pStyle w:val="Heading1"/>
      </w:pPr>
      <w:r>
        <w:t>Activity Reference (aligned to the DMAIC phases)</w:t>
      </w:r>
    </w:p>
    <w:tbl>
      <w:tblPr>
        <w:tblStyle w:val="TableGrid"/>
        <w:tblW w:type="auto" w:w="0"/>
        <w:tblLook w:firstColumn="1" w:firstRow="1" w:lastColumn="0" w:lastRow="0" w:noHBand="0" w:noVBand="1" w:val="04A0"/>
      </w:tblPr>
      <w:tblGrid>
        <w:gridCol w:w="2160"/>
        <w:gridCol w:w="2160"/>
        <w:gridCol w:w="2160"/>
        <w:gridCol w:w="2160"/>
      </w:tblGrid>
      <w:tr>
        <w:tc>
          <w:tcPr>
            <w:tcW w:type="dxa" w:w="2232"/>
            <w:shd w:val="clear" w:color="auto" w:fill="1F6FEB"/>
          </w:tcPr>
          <w:p>
            <w:r/>
            <w:r>
              <w:rPr>
                <w:rFonts w:ascii="Arial" w:hAnsi="Arial"/>
                <w:b/>
                <w:color w:val="FFFFFF"/>
                <w:sz w:val="20"/>
              </w:rPr>
              <w:t>DMAIC phase / Topic</w:t>
            </w:r>
          </w:p>
        </w:tc>
        <w:tc>
          <w:tcPr>
            <w:tcW w:type="dxa" w:w="1008"/>
            <w:shd w:val="clear" w:color="auto" w:fill="1F6FEB"/>
          </w:tcPr>
          <w:p>
            <w:r/>
            <w:r>
              <w:rPr>
                <w:rFonts w:ascii="Arial" w:hAnsi="Arial"/>
                <w:b/>
                <w:color w:val="FFFFFF"/>
                <w:sz w:val="20"/>
              </w:rPr>
              <w:t>Weighting</w:t>
            </w:r>
          </w:p>
        </w:tc>
        <w:tc>
          <w:tcPr>
            <w:tcW w:type="dxa" w:w="1512"/>
            <w:shd w:val="clear" w:color="auto" w:fill="1F6FEB"/>
          </w:tcPr>
          <w:p>
            <w:r/>
            <w:r>
              <w:rPr>
                <w:rFonts w:ascii="Arial" w:hAnsi="Arial"/>
                <w:b/>
                <w:color w:val="FFFFFF"/>
                <w:sz w:val="20"/>
              </w:rPr>
              <w:t>Activities</w:t>
            </w:r>
          </w:p>
        </w:tc>
        <w:tc>
          <w:tcPr>
            <w:tcW w:type="dxa" w:w="5040"/>
            <w:shd w:val="clear" w:color="auto" w:fill="1F6FEB"/>
          </w:tcPr>
          <w:p>
            <w:r/>
            <w:r>
              <w:rPr>
                <w:rFonts w:ascii="Arial" w:hAnsi="Arial"/>
                <w:b/>
                <w:color w:val="FFFFFF"/>
                <w:sz w:val="20"/>
              </w:rPr>
              <w:t>Data pack issued to learners</w:t>
            </w:r>
          </w:p>
        </w:tc>
      </w:tr>
      <w:tr>
        <w:tc>
          <w:tcPr>
            <w:tcW w:type="dxa" w:w="2232"/>
            <w:shd w:val="clear" w:color="auto" w:fill="E8F0FE"/>
          </w:tcPr>
          <w:p>
            <w:r/>
            <w:r>
              <w:rPr>
                <w:rFonts w:ascii="Arial" w:hAnsi="Arial"/>
                <w:b/>
                <w:sz w:val="19"/>
              </w:rPr>
              <w:t>FOUNDATIONS: Lean Six Sigma Foundations</w:t>
            </w:r>
          </w:p>
        </w:tc>
        <w:tc>
          <w:tcPr>
            <w:tcW w:type="dxa" w:w="1008"/>
            <w:shd w:val="clear" w:color="auto" w:fill="E8F0FE"/>
          </w:tcPr>
          <w:p>
            <w:r/>
            <w:r>
              <w:rPr>
                <w:rFonts w:ascii="Arial" w:hAnsi="Arial"/>
                <w:b w:val="0"/>
                <w:sz w:val="19"/>
              </w:rPr>
              <w:t>20%</w:t>
            </w:r>
          </w:p>
        </w:tc>
        <w:tc>
          <w:tcPr>
            <w:tcW w:type="dxa" w:w="1512"/>
          </w:tcPr>
          <w:p>
            <w:r/>
            <w:r>
              <w:rPr>
                <w:rFonts w:ascii="Arial" w:hAnsi="Arial"/>
                <w:b w:val="0"/>
                <w:sz w:val="19"/>
              </w:rPr>
            </w:r>
          </w:p>
        </w:tc>
        <w:tc>
          <w:tcPr>
            <w:tcW w:type="dxa" w:w="5040"/>
          </w:tcPr>
          <w:p>
            <w:r/>
            <w:r>
              <w:rPr>
                <w:rFonts w:ascii="Arial" w:hAnsi="Arial"/>
                <w:b w:val="0"/>
                <w:sz w:val="18"/>
              </w:rPr>
              <w:t>-</w:t>
            </w:r>
          </w:p>
        </w:tc>
      </w:tr>
      <w:tr>
        <w:tc>
          <w:tcPr>
            <w:tcW w:type="dxa" w:w="2232"/>
            <w:shd w:val="clear" w:color="auto" w:fill="E8F0FE"/>
          </w:tcPr>
          <w:p>
            <w:r/>
            <w:r>
              <w:rPr>
                <w:rFonts w:ascii="Arial" w:hAnsi="Arial"/>
                <w:b/>
                <w:sz w:val="19"/>
              </w:rPr>
              <w:t>DEFINE: Define — Understand the Problem</w:t>
            </w:r>
          </w:p>
        </w:tc>
        <w:tc>
          <w:tcPr>
            <w:tcW w:type="dxa" w:w="1008"/>
            <w:shd w:val="clear" w:color="auto" w:fill="E8F0FE"/>
          </w:tcPr>
          <w:p>
            <w:r/>
            <w:r>
              <w:rPr>
                <w:rFonts w:ascii="Arial" w:hAnsi="Arial"/>
                <w:b w:val="0"/>
                <w:sz w:val="19"/>
              </w:rPr>
              <w:t>20%</w:t>
            </w:r>
          </w:p>
        </w:tc>
        <w:tc>
          <w:tcPr>
            <w:tcW w:type="dxa" w:w="1512"/>
          </w:tcPr>
          <w:p>
            <w:r/>
            <w:r>
              <w:rPr>
                <w:rFonts w:ascii="Arial" w:hAnsi="Arial"/>
                <w:b w:val="0"/>
                <w:sz w:val="19"/>
              </w:rPr>
              <w:t>Activity 1</w:t>
            </w:r>
          </w:p>
        </w:tc>
        <w:tc>
          <w:tcPr>
            <w:tcW w:type="dxa" w:w="5040"/>
          </w:tcPr>
          <w:p>
            <w:r/>
            <w:r>
              <w:rPr>
                <w:rFonts w:ascii="Arial" w:hAnsi="Arial"/>
                <w:b w:val="0"/>
                <w:sz w:val="18"/>
              </w:rPr>
              <w:t>Raw Voice of the Customer feedback (+2 blank templates)</w:t>
            </w:r>
          </w:p>
        </w:tc>
      </w:tr>
      <w:tr>
        <w:tc>
          <w:tcPr>
            <w:tcW w:type="dxa" w:w="2232"/>
            <w:shd w:val="clear" w:color="auto" w:fill="E8F0FE"/>
          </w:tcPr>
          <w:p>
            <w:r/>
            <w:r>
              <w:rPr>
                <w:rFonts w:ascii="Arial" w:hAnsi="Arial"/>
                <w:b/>
                <w:sz w:val="19"/>
              </w:rPr>
              <w:t>MEASURE: Measure — See What Is Really Happening</w:t>
            </w:r>
          </w:p>
        </w:tc>
        <w:tc>
          <w:tcPr>
            <w:tcW w:type="dxa" w:w="1008"/>
            <w:shd w:val="clear" w:color="auto" w:fill="E8F0FE"/>
          </w:tcPr>
          <w:p>
            <w:r/>
            <w:r>
              <w:rPr>
                <w:rFonts w:ascii="Arial" w:hAnsi="Arial"/>
                <w:b w:val="0"/>
                <w:sz w:val="19"/>
              </w:rPr>
              <w:t>20%</w:t>
            </w:r>
          </w:p>
        </w:tc>
        <w:tc>
          <w:tcPr>
            <w:tcW w:type="dxa" w:w="1512"/>
          </w:tcPr>
          <w:p>
            <w:r/>
            <w:r>
              <w:rPr>
                <w:rFonts w:ascii="Arial" w:hAnsi="Arial"/>
                <w:b w:val="0"/>
                <w:sz w:val="19"/>
              </w:rPr>
              <w:t>Activity 2</w:t>
            </w:r>
          </w:p>
        </w:tc>
        <w:tc>
          <w:tcPr>
            <w:tcW w:type="dxa" w:w="5040"/>
          </w:tcPr>
          <w:p>
            <w:r/>
            <w:r>
              <w:rPr>
                <w:rFonts w:ascii="Arial" w:hAnsi="Arial"/>
                <w:b w:val="0"/>
                <w:sz w:val="18"/>
              </w:rPr>
              <w:t>Morning rush observation log; Process step timings; DOWNTIME waste tally (partially completed) (+3 blank templates)</w:t>
            </w:r>
          </w:p>
        </w:tc>
      </w:tr>
      <w:tr>
        <w:tc>
          <w:tcPr>
            <w:tcW w:type="dxa" w:w="2232"/>
            <w:shd w:val="clear" w:color="auto" w:fill="E8F0FE"/>
          </w:tcPr>
          <w:p>
            <w:r/>
            <w:r>
              <w:rPr>
                <w:rFonts w:ascii="Arial" w:hAnsi="Arial"/>
                <w:b/>
                <w:sz w:val="19"/>
              </w:rPr>
              <w:t>ANALYZE: Analyze — Find the Cause</w:t>
            </w:r>
          </w:p>
        </w:tc>
        <w:tc>
          <w:tcPr>
            <w:tcW w:type="dxa" w:w="1008"/>
            <w:shd w:val="clear" w:color="auto" w:fill="E8F0FE"/>
          </w:tcPr>
          <w:p>
            <w:r/>
            <w:r>
              <w:rPr>
                <w:rFonts w:ascii="Arial" w:hAnsi="Arial"/>
                <w:b w:val="0"/>
                <w:sz w:val="19"/>
              </w:rPr>
              <w:t>20%</w:t>
            </w:r>
          </w:p>
        </w:tc>
        <w:tc>
          <w:tcPr>
            <w:tcW w:type="dxa" w:w="1512"/>
          </w:tcPr>
          <w:p>
            <w:r/>
            <w:r>
              <w:rPr>
                <w:rFonts w:ascii="Arial" w:hAnsi="Arial"/>
                <w:b w:val="0"/>
                <w:sz w:val="19"/>
              </w:rPr>
              <w:t>Activity 3</w:t>
            </w:r>
          </w:p>
        </w:tc>
        <w:tc>
          <w:tcPr>
            <w:tcW w:type="dxa" w:w="5040"/>
          </w:tcPr>
          <w:p>
            <w:r/>
            <w:r>
              <w:rPr>
                <w:rFonts w:ascii="Arial" w:hAnsi="Arial"/>
                <w:b w:val="0"/>
                <w:sz w:val="18"/>
              </w:rPr>
              <w:t>Delay reason Pareto data; Candidate causes and their evidence (+3 blank templates)</w:t>
            </w:r>
          </w:p>
        </w:tc>
      </w:tr>
      <w:tr>
        <w:tc>
          <w:tcPr>
            <w:tcW w:type="dxa" w:w="2232"/>
            <w:shd w:val="clear" w:color="auto" w:fill="E8F0FE"/>
          </w:tcPr>
          <w:p>
            <w:r/>
            <w:r>
              <w:rPr>
                <w:rFonts w:ascii="Arial" w:hAnsi="Arial"/>
                <w:b/>
                <w:sz w:val="19"/>
              </w:rPr>
              <w:t>IMPROVE: Improve — Fix the Cause</w:t>
            </w:r>
          </w:p>
        </w:tc>
        <w:tc>
          <w:tcPr>
            <w:tcW w:type="dxa" w:w="1008"/>
            <w:shd w:val="clear" w:color="auto" w:fill="E8F0FE"/>
          </w:tcPr>
          <w:p>
            <w:r/>
            <w:r>
              <w:rPr>
                <w:rFonts w:ascii="Arial" w:hAnsi="Arial"/>
                <w:b w:val="0"/>
                <w:sz w:val="19"/>
              </w:rPr>
              <w:t>10%</w:t>
            </w:r>
          </w:p>
        </w:tc>
        <w:tc>
          <w:tcPr>
            <w:tcW w:type="dxa" w:w="1512"/>
          </w:tcPr>
          <w:p>
            <w:r/>
            <w:r>
              <w:rPr>
                <w:rFonts w:ascii="Arial" w:hAnsi="Arial"/>
                <w:b w:val="0"/>
                <w:sz w:val="19"/>
              </w:rPr>
              <w:t>Activity 4</w:t>
            </w:r>
          </w:p>
        </w:tc>
        <w:tc>
          <w:tcPr>
            <w:tcW w:type="dxa" w:w="5040"/>
          </w:tcPr>
          <w:p>
            <w:r/>
            <w:r>
              <w:rPr>
                <w:rFonts w:ascii="Arial" w:hAnsi="Arial"/>
                <w:b w:val="0"/>
                <w:sz w:val="18"/>
              </w:rPr>
              <w:t>Countermeasure options with impact, effort and cost; Pilot week results (+3 blank templates)</w:t>
            </w:r>
          </w:p>
        </w:tc>
      </w:tr>
      <w:tr>
        <w:tc>
          <w:tcPr>
            <w:tcW w:type="dxa" w:w="2232"/>
            <w:shd w:val="clear" w:color="auto" w:fill="E8F0FE"/>
          </w:tcPr>
          <w:p>
            <w:r/>
            <w:r>
              <w:rPr>
                <w:rFonts w:ascii="Arial" w:hAnsi="Arial"/>
                <w:b/>
                <w:sz w:val="19"/>
              </w:rPr>
              <w:t>CONTROL: Control — Hold the Gain</w:t>
            </w:r>
          </w:p>
        </w:tc>
        <w:tc>
          <w:tcPr>
            <w:tcW w:type="dxa" w:w="1008"/>
            <w:shd w:val="clear" w:color="auto" w:fill="E8F0FE"/>
          </w:tcPr>
          <w:p>
            <w:r/>
            <w:r>
              <w:rPr>
                <w:rFonts w:ascii="Arial" w:hAnsi="Arial"/>
                <w:b w:val="0"/>
                <w:sz w:val="19"/>
              </w:rPr>
              <w:t>10%</w:t>
            </w:r>
          </w:p>
        </w:tc>
        <w:tc>
          <w:tcPr>
            <w:tcW w:type="dxa" w:w="1512"/>
          </w:tcPr>
          <w:p>
            <w:r/>
            <w:r>
              <w:rPr>
                <w:rFonts w:ascii="Arial" w:hAnsi="Arial"/>
                <w:b w:val="0"/>
                <w:sz w:val="19"/>
              </w:rPr>
              <w:t>Activity 5</w:t>
            </w:r>
          </w:p>
        </w:tc>
        <w:tc>
          <w:tcPr>
            <w:tcW w:type="dxa" w:w="5040"/>
          </w:tcPr>
          <w:p>
            <w:r/>
            <w:r>
              <w:rPr>
                <w:rFonts w:ascii="Arial" w:hAnsi="Arial"/>
                <w:b w:val="0"/>
                <w:sz w:val="18"/>
              </w:rPr>
              <w:t>Post-improvement monitoring — four weeks; Control plan — worked example (one row completed) (+3 blank templates)</w:t>
            </w:r>
          </w:p>
        </w:tc>
      </w:tr>
    </w:tbl>
    <w:p>
      <w:r>
        <w:rPr>
          <w:i/>
          <w:color w:val="555B66"/>
          <w:sz w:val="19"/>
        </w:rPr>
        <w:t>Every activity is a self-contained folder holding the Facilitator Guide, Learner Worksheet and Checklist (DOCX + PDF), its mock data (CSV and Excel), blank templates and a worked model answer. The datasets are internally consistent across the five activities, so the BrewBean Cafe story reconciles from Define to Control.</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