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Agent Cybersecurity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TGS-2025053228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3.0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January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 — 'Certified IT Specialist Cybersecurity' (Pearson) 2-day lesson plan.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AI-agent rewrite: retitled to AI Agent Cybersecurity (TGS-2025053228); three topics mapped to LO1–LO3; ten OpenClaw/Hermes labs; schedule cites deck slide ranges; assessment is WA-SAQ + Case Study on Day 2, 4:00–6:00pm.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Establishing AI-Agent Security Policies &amp; Controls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Monitoring, Response &amp; Continuous Improvement (+ Assessment)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&amp; Lab Reference (aligned to the learning outcomes and deck slides)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Agent Cybersecurity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TGS-2025053228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Skills Framework (TSC)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Cyber Security (ACC-ICT-5002-1.1)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16 hours (14 hours instruction + 2 hours assessment)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labs on OpenClaw and Hermes Agent with authorised/synthetic targets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Establish organizational cybersecurity policies and procedures to protect information confidentiality and integrity across AI-agent tools, skills, memory, context and permissions.</w:t>
      </w:r>
    </w:p>
    <w:p>
      <w:pPr>
        <w:pStyle w:val="ListBullet"/>
      </w:pPr>
      <w:r>
        <w:rPr>
          <w:sz w:val="21"/>
        </w:rPr>
        <w:t>LO2: Ensure adherence to cybersecurity policies and procedures in response to evolving threats, using AI-agent monitoring, compliance checks and controlled validation.</w:t>
      </w:r>
    </w:p>
    <w:p>
      <w:pPr>
        <w:pStyle w:val="ListBullet"/>
      </w:pPr>
      <w:r>
        <w:rPr>
          <w:sz w:val="21"/>
        </w:rPr>
        <w:t>LO3: Continuously improve cybersecurity policies and procedures to enhance organizational defenses, using vulnerability intelligence, incident response and a multi-agent resilience cycle.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 Tests the underpinning knowledge (K1, K2).</w:t>
      </w:r>
    </w:p>
    <w:p>
      <w:pPr>
        <w:pStyle w:val="ListBullet"/>
      </w:pPr>
      <w:r>
        <w:rPr>
          <w:sz w:val="21"/>
        </w:rPr>
        <w:t>Case Study (CS) — a scenario-based assessment with three application tasks mapped to LO1 (A1), LO2 (A2) and LO3 (A3),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The final assessment is conducted on Day 2 from 4:00 pm to 6:00 pm (WA first, then the Case Study).</w:t>
      </w:r>
    </w:p>
    <w:p>
      <w:pPr>
        <w:pStyle w:val="ListBullet"/>
      </w:pPr>
      <w:r>
        <w:rPr>
          <w:sz w:val="21"/>
        </w:rPr>
        <w:t>Each instrument is graded Competent (C) or Not Yet Competent (NYC).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Establishing AI-Agent Security Policies &amp;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 and mandatory AM digital attendance (Slides 3–19)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9:30–10:45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Core Concepts — Securing AI Agents: CIA triad, control categories, trust boundary, prompt contracts, least privilege (Slides 20–74)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Core concepts continued, then Topic 1 — Developing Cybersecurity Policies. Hands-on: Lab 1: Agent Security Policy &amp; Trust Boundaries; Lab 2: Phishing &amp; IOC Triage with Regex Generation (Slides 79–98)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1 hands-on: Lab 3: Identity, Secrets, Encryption &amp; Crypto Validation; Lab 4: Network Segmentation &amp; IP Policy (Slides 99–118)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1 recap, then Topic 2 begins. Hands-on: Lab 5: Agent Compliance Monitoring &amp; Alert Triage (Slides 125–134)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scheduled contact time: 480 minutes (8 hours).</w:t>
      </w:r>
    </w:p>
    <w:p>
      <w:pPr>
        <w:pStyle w:val="Heading2"/>
      </w:pPr>
      <w:r>
        <w:t>Day 2 — Monitoring, Response &amp; Continuous Improvement (+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AM digital attendance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9:15–10:45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— Monitoring, Compliance &amp; Response. Hands-on: Lab 6: Endpoint Hardening &amp; Controlled Validation (Slides 135–144)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hands-on: Lab 7: PCAP &amp; Log Investigation; Topic 3 begins: Lab 8: Vulnerability Intelligence &amp; Authorized FauxBank Assessment (Slides 145–170)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3 — Continuous Improvement. Hands-on: Lab 9: Incident Response, Forensics &amp; DR with Human Approvals; Lab 10: Capstone — Multi-Agent Cyber-Resilience Improvement Cycle (Slides 171–190)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Course recap and exam preparation; Briefing for Assessment; TRAQOM survey and Assessment digital attendance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Case Study (CS) — scenario tasks mapped to LO1/LO2/LO3, 1 hour, open book. PM digital attendance</w:t>
            </w:r>
          </w:p>
        </w:tc>
      </w:tr>
    </w:tbl>
    <w:p>
      <w:r>
        <w:rPr>
          <w:i/>
          <w:color w:val="555B66"/>
          <w:sz w:val="19"/>
        </w:rPr>
        <w:t>Total scheduled contact time: 480 minutes (8 hours) — instruction 345 min, assessment 135 min.</w:t>
      </w:r>
    </w:p>
    <w:p>
      <w:pPr>
        <w:pStyle w:val="Heading1"/>
      </w:pPr>
      <w:r>
        <w:t>Topic &amp; Lab Reference (aligned to the learning outcomes and deck slides)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Learning Outcome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Deck slides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Developing Cybersecurity Policies with OpenClaw and Hermes Agents  (LO1)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75–120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AI Agent Monitoring, Compliance and Response to Emerging Threats  (LO2)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121–156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Continuous Cybersecurity Improvement with Autonomous AI Agents  (LO3)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8, Lab 9, Lab 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157–192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