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LEARNER GUIDE</w:t>
      </w:r>
    </w:p>
    <w:p>
      <w:pPr>
        <w:jc w:val="center"/>
      </w:pPr>
      <w:r>
        <w:rPr>
          <w:b/>
          <w:sz w:val="44"/>
        </w:rPr>
        <w:t>Basic Urban Farming with Hydroponics</w:t>
      </w:r>
    </w:p>
    <w:p>
      <w:pPr>
        <w:jc w:val="center"/>
      </w:pPr>
      <w:r>
        <w:t>WSQ Course Code: TGS-2025053916</w:t>
        <w:br/>
        <w:t>Version 2.1 · 29 August 2026</w:t>
        <w:br/>
        <w:t>Tertiary Infotech Academy Pte Ltd ·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EF4"/>
          </w:tcPr>
          <w:p>
            <w:r>
              <w:t>Version</w:t>
            </w:r>
          </w:p>
        </w:tc>
        <w:tc>
          <w:tcPr>
            <w:tcW w:type="dxa" w:w="2520"/>
            <w:shd w:fill="DCEEF4"/>
          </w:tcPr>
          <w:p>
            <w:r>
              <w:t>Date</w:t>
            </w:r>
          </w:p>
        </w:tc>
        <w:tc>
          <w:tcPr>
            <w:tcW w:type="dxa" w:w="2520"/>
            <w:shd w:fill="DCEEF4"/>
          </w:tcPr>
          <w:p>
            <w:r>
              <w:t>Description</w:t>
            </w:r>
          </w:p>
        </w:tc>
        <w:tc>
          <w:tcPr>
            <w:tcW w:type="dxa" w:w="2520"/>
            <w:shd w:fill="DCEEF4"/>
          </w:tcPr>
          <w:p>
            <w:r>
              <w:t>Approved by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24 March 2025</w:t>
            </w:r>
          </w:p>
        </w:tc>
        <w:tc>
          <w:tcPr>
            <w:tcW w:type="dxa" w:w="2520"/>
          </w:tcPr>
          <w:p>
            <w:r>
              <w:t>Legacy approved course package baseline.</w:t>
            </w:r>
          </w:p>
        </w:tc>
        <w:tc>
          <w:tcPr>
            <w:tcW w:type="dxa" w:w="2520"/>
          </w:tcPr>
          <w:p>
            <w:r>
              <w:t>Course Development Team</w:t>
            </w:r>
          </w:p>
        </w:tc>
      </w:tr>
      <w:tr>
        <w:tc>
          <w:tcPr>
            <w:tcW w:type="dxa" w:w="2520"/>
          </w:tcPr>
          <w:p>
            <w:r>
              <w:t>2.0</w:t>
            </w:r>
          </w:p>
        </w:tc>
        <w:tc>
          <w:tcPr>
            <w:tcW w:type="dxa" w:w="2520"/>
          </w:tcPr>
          <w:p>
            <w:r>
              <w:t>29 August 2026</w:t>
            </w:r>
          </w:p>
        </w:tc>
        <w:tc>
          <w:tcPr>
            <w:tcW w:type="dxa" w:w="2520"/>
          </w:tcPr>
          <w:p>
            <w:r>
              <w:t>Technical rebuild with current Singapore context, aligned Activities and WSQ administration.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  <w:tr>
        <w:tc>
          <w:tcPr>
            <w:tcW w:type="dxa" w:w="2520"/>
          </w:tcPr>
          <w:p>
            <w:r>
              <w:t>2.1</w:t>
            </w:r>
          </w:p>
        </w:tc>
        <w:tc>
          <w:tcPr>
            <w:tcW w:type="dxa" w:w="2520"/>
          </w:tcPr>
          <w:p>
            <w:r>
              <w:t>29 August 2026</w:t>
            </w:r>
          </w:p>
        </w:tc>
        <w:tc>
          <w:tcPr>
            <w:tcW w:type="dxa" w:w="2520"/>
          </w:tcPr>
          <w:p>
            <w:r>
              <w:t>Aligned v2.1 package release; detailed hydroponics-kit procedures retained while the deck gains authentic practice-session imagery.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Course and Competency Alignment</w:t>
      </w:r>
    </w:p>
    <w:p>
      <w:pPr>
        <w:pStyle w:val="ListBullet"/>
      </w:pPr>
      <w:r>
        <w:t>How to Use This Guide</w:t>
      </w:r>
    </w:p>
    <w:p>
      <w:pPr>
        <w:pStyle w:val="ListBullet"/>
      </w:pPr>
      <w:r>
        <w:t>1. Hydroponic Root-Zone Control</w:t>
      </w:r>
    </w:p>
    <w:p>
      <w:pPr>
        <w:pStyle w:val="ListBullet"/>
      </w:pPr>
      <w:r>
        <w:t>2. Systems and Equipment</w:t>
      </w:r>
    </w:p>
    <w:p>
      <w:pPr>
        <w:pStyle w:val="ListBullet"/>
      </w:pPr>
      <w:r>
        <w:t>3. Nutrient and Water Management</w:t>
      </w:r>
    </w:p>
    <w:p>
      <w:pPr>
        <w:pStyle w:val="ListBullet"/>
      </w:pPr>
      <w:r>
        <w:t>4. Crop, Environment and Hygiene</w:t>
      </w:r>
    </w:p>
    <w:p>
      <w:pPr>
        <w:pStyle w:val="ListBullet"/>
      </w:pPr>
      <w:r>
        <w:t>5. Singapore Cases and Current Context</w:t>
      </w:r>
    </w:p>
    <w:p>
      <w:pPr>
        <w:pStyle w:val="ListBullet"/>
      </w:pPr>
      <w:r>
        <w:t>6. Aquaponics</w:t>
      </w:r>
    </w:p>
    <w:p>
      <w:pPr>
        <w:pStyle w:val="ListBullet"/>
      </w:pPr>
      <w:r>
        <w:t>Detailed Procedure A — Farm Tour Evidence Walk</w:t>
      </w:r>
    </w:p>
    <w:p>
      <w:pPr>
        <w:pStyle w:val="ListBullet"/>
      </w:pPr>
      <w:r>
        <w:t>Detailed Procedure B — Commission and Operate a Hydroponics Kit</w:t>
      </w:r>
    </w:p>
    <w:p>
      <w:pPr>
        <w:pStyle w:val="ListBullet"/>
      </w:pPr>
      <w:r>
        <w:t>Troubleshooting Decision Table</w:t>
      </w:r>
    </w:p>
    <w:p>
      <w:pPr>
        <w:pStyle w:val="ListBullet"/>
      </w:pPr>
      <w:r>
        <w:t>References and Current Sources</w:t>
      </w:r>
    </w:p>
    <w:p>
      <w:r>
        <w:br w:type="page"/>
      </w:r>
    </w:p>
    <w:p>
      <w:pPr>
        <w:pStyle w:val="Heading1"/>
      </w:pPr>
      <w:r>
        <w:t>Course and Competency Alignment</w:t>
      </w:r>
    </w:p>
    <w:p>
      <w:pPr>
        <w:pStyle w:val="ListBullet"/>
      </w:pPr>
      <w:r>
        <w:t>TSC: AGR-FOP-2002-1.1 Urban Farming Implementation and Management Control.</w:t>
      </w:r>
    </w:p>
    <w:p>
      <w:pPr>
        <w:pStyle w:val="ListBullet"/>
      </w:pPr>
      <w:r>
        <w:t>LO1: Perform farming activities and equipment operations according to standard operating procedures.</w:t>
      </w:r>
    </w:p>
    <w:p>
      <w:pPr>
        <w:pStyle w:val="ListBullet"/>
      </w:pPr>
      <w:r>
        <w:t>LO2: Execute farming operations in accordance with regulations, workplace safety and health, food-safety and housekeeping requirements.</w:t>
      </w:r>
    </w:p>
    <w:p>
      <w:pPr>
        <w:pStyle w:val="ListBullet"/>
      </w:pPr>
      <w:r>
        <w:t>Knowledge: equipment and machinery; farming SOPs; GAP/food safety/WSH; cleaning and maintenance.</w:t>
      </w:r>
    </w:p>
    <w:p>
      <w:pPr>
        <w:pStyle w:val="ListBullet"/>
      </w:pPr>
      <w:r>
        <w:t>Abilities: prepare; operate to targets; comply; clean, maintain and store equipment.</w:t>
      </w:r>
    </w:p>
    <w:p>
      <w:pPr>
        <w:pStyle w:val="Heading1"/>
      </w:pPr>
      <w:r>
        <w:t>How to Use This Guide</w:t>
      </w:r>
    </w:p>
    <w:p>
      <w:r>
        <w:t>The slide deck explains mechanisms and decisions. This Learner Guide contains the detailed operating sequence. Always follow the site-specific SOP, product label, Safety Data Sheet and trainer instructions where they are more restrictive. Stop when a required control is absent.</w:t>
      </w:r>
    </w:p>
    <w:p>
      <w:pPr>
        <w:pStyle w:val="Heading1"/>
      </w:pPr>
      <w:r>
        <w:t>1. Hydroponic Root-Zone Control</w:t>
      </w:r>
    </w:p>
    <w:p>
      <w:pPr>
        <w:pStyle w:val="Heading2"/>
      </w:pPr>
      <w:r>
        <w:t>Hydroponics replaces soil functions</w:t>
      </w:r>
    </w:p>
    <w:p>
      <w:r>
        <w:t>Water carries dissolved ions; air spaces or aeration supply oxygen; channels/media support roots; monitoring replaces much of soil buffering.</w:t>
      </w:r>
    </w:p>
    <w:p>
      <w:pPr>
        <w:pStyle w:val="Heading2"/>
      </w:pPr>
      <w:r>
        <w:t>The operating variables</w:t>
      </w:r>
    </w:p>
    <w:p>
      <w:r>
        <w:t>Record pH, EC, solution temperature, level/volume, flow and visible root condition. Interpret them together.</w:t>
      </w:r>
    </w:p>
    <w:p>
      <w:pPr>
        <w:pStyle w:val="Heading2"/>
      </w:pPr>
      <w:r>
        <w:t>Mass balance</w:t>
      </w:r>
    </w:p>
    <w:p>
      <w:r>
        <w:t>Water uptake and evaporation can raise EC; selective uptake can change ion proportions even when EC looks stable.</w:t>
      </w:r>
    </w:p>
    <w:p>
      <w:pPr>
        <w:pStyle w:val="Heading2"/>
      </w:pPr>
      <w:r>
        <w:t>Plant demand</w:t>
      </w:r>
    </w:p>
    <w:p>
      <w:r>
        <w:t>Light, heat, humidity, airflow, crop stage and canopy size change water and nutrient demand.</w:t>
      </w:r>
    </w:p>
    <w:p>
      <w:pPr>
        <w:pStyle w:val="Heading1"/>
      </w:pPr>
      <w:r>
        <w:t>2. Systems and Equipment</w:t>
      </w:r>
    </w:p>
    <w:p>
      <w:pPr>
        <w:pStyle w:val="Heading2"/>
      </w:pPr>
      <w:r>
        <w:t>NFT</w:t>
      </w:r>
    </w:p>
    <w:p>
      <w:r>
        <w:t>A shallow recirculating film provides water and oxygen but has low tolerance to pump interruption.</w:t>
      </w:r>
    </w:p>
    <w:p>
      <w:pPr>
        <w:pStyle w:val="Heading2"/>
      </w:pPr>
      <w:r>
        <w:t>DWC</w:t>
      </w:r>
    </w:p>
    <w:p>
      <w:r>
        <w:t>Roots hang in aerated solution; air delivery and hygiene are critical.</w:t>
      </w:r>
    </w:p>
    <w:p>
      <w:pPr>
        <w:pStyle w:val="Heading2"/>
      </w:pPr>
      <w:r>
        <w:t>Kratky</w:t>
      </w:r>
    </w:p>
    <w:p>
      <w:r>
        <w:t>A static reservoir develops an air gap; inappropriate refilling can remove that oxygen zone.</w:t>
      </w:r>
    </w:p>
    <w:p>
      <w:pPr>
        <w:pStyle w:val="Heading2"/>
      </w:pPr>
      <w:r>
        <w:t>Ebb-and-flow, drip and media</w:t>
      </w:r>
    </w:p>
    <w:p>
      <w:r>
        <w:t>Irrigation duration, drainage and air-filled porosity must match the crop and media.</w:t>
      </w:r>
    </w:p>
    <w:p>
      <w:pPr>
        <w:pStyle w:val="Heading2"/>
      </w:pPr>
      <w:r>
        <w:t>Pump and drainage</w:t>
      </w:r>
    </w:p>
    <w:p>
      <w:r>
        <w:t>Verify delivered flow at operating head, unobstructed returns, freeboard and power-off behaviour.</w:t>
      </w:r>
    </w:p>
    <w:p>
      <w:pPr>
        <w:pStyle w:val="Heading1"/>
      </w:pPr>
      <w:r>
        <w:t>3. Nutrient and Water Management</w:t>
      </w:r>
    </w:p>
    <w:p>
      <w:pPr>
        <w:pStyle w:val="Heading2"/>
      </w:pPr>
      <w:r>
        <w:t>Source water</w:t>
      </w:r>
    </w:p>
    <w:p>
      <w:r>
        <w:t>Baseline pH, EC and temperature; investigate alkalinity when pH continually rebounds.</w:t>
      </w:r>
    </w:p>
    <w:p>
      <w:pPr>
        <w:pStyle w:val="Heading2"/>
      </w:pPr>
      <w:r>
        <w:t>Nutrient mixing</w:t>
      </w:r>
    </w:p>
    <w:p>
      <w:r>
        <w:t>Keep Part A and Part B concentrates separate; add each to water with circulation.</w:t>
      </w:r>
    </w:p>
    <w:p>
      <w:pPr>
        <w:pStyle w:val="Heading2"/>
      </w:pPr>
      <w:r>
        <w:t>pH and EC</w:t>
      </w:r>
    </w:p>
    <w:p>
      <w:r>
        <w:t>Use crop-specific bands. EC is total ionic strength, not element-by-element analysis.</w:t>
      </w:r>
    </w:p>
    <w:p>
      <w:pPr>
        <w:pStyle w:val="Heading2"/>
      </w:pPr>
      <w:r>
        <w:t>Calibration</w:t>
      </w:r>
    </w:p>
    <w:p>
      <w:r>
        <w:t>Use fresh standard, rinse correctly, record calibration and verify the instrument response.</w:t>
      </w:r>
    </w:p>
    <w:p>
      <w:pPr>
        <w:pStyle w:val="Heading2"/>
      </w:pPr>
      <w:r>
        <w:t>Correction</w:t>
      </w:r>
    </w:p>
    <w:p>
      <w:r>
        <w:t>Add small measured amounts, circulate, remeasure, record before/action/after.</w:t>
      </w:r>
    </w:p>
    <w:p>
      <w:pPr>
        <w:pStyle w:val="Heading1"/>
      </w:pPr>
      <w:r>
        <w:t>4. Crop, Environment and Hygiene</w:t>
      </w:r>
    </w:p>
    <w:p>
      <w:pPr>
        <w:pStyle w:val="Heading2"/>
      </w:pPr>
      <w:r>
        <w:t>Nursery and transplant</w:t>
      </w:r>
    </w:p>
    <w:p>
      <w:r>
        <w:t>Accept only uniform, healthy plugs with established roots and intact media.</w:t>
      </w:r>
    </w:p>
    <w:p>
      <w:pPr>
        <w:pStyle w:val="Heading2"/>
      </w:pPr>
      <w:r>
        <w:t>Light and climate</w:t>
      </w:r>
    </w:p>
    <w:p>
      <w:r>
        <w:t>Use PPFD/DLI, temperature, humidity/VPD and airflow trends to explain crop response.</w:t>
      </w:r>
    </w:p>
    <w:p>
      <w:pPr>
        <w:pStyle w:val="Heading2"/>
      </w:pPr>
      <w:r>
        <w:t>IPM</w:t>
      </w:r>
    </w:p>
    <w:p>
      <w:r>
        <w:t>Prevent, monitor, identify, intervene lawfully, and verify. Sticky cards are trend tools.</w:t>
      </w:r>
    </w:p>
    <w:p>
      <w:pPr>
        <w:pStyle w:val="Heading2"/>
      </w:pPr>
      <w:r>
        <w:t>Root diagnosis</w:t>
      </w:r>
    </w:p>
    <w:p>
      <w:r>
        <w:t>Inspect colour, odour, firmness, branching, flow, oxygen risk and chemistry before nutrient correction.</w:t>
      </w:r>
    </w:p>
    <w:p>
      <w:pPr>
        <w:pStyle w:val="Heading2"/>
      </w:pPr>
      <w:r>
        <w:t>Cleaning and maintenance</w:t>
      </w:r>
    </w:p>
    <w:p>
      <w:r>
        <w:t>Remove residue before disinfection; follow concentration/contact time; rinse/dry; function-test before return to service.</w:t>
      </w:r>
    </w:p>
    <w:p>
      <w:pPr>
        <w:pStyle w:val="Heading1"/>
      </w:pPr>
      <w:r>
        <w:t>5. Singapore Cases and Current Context</w:t>
      </w:r>
    </w:p>
    <w:p>
      <w:pPr>
        <w:pStyle w:val="Heading2"/>
      </w:pPr>
      <w:r>
        <w:t>Food Story 2</w:t>
      </w:r>
    </w:p>
    <w:p>
      <w:r>
        <w:t>By 2035 Singapore targets local production capacity equivalent to 20% of fibre and 30% of protein needs. In 2025 output was about 8% and 25%, respectively.</w:t>
      </w:r>
    </w:p>
    <w:p>
      <w:pPr>
        <w:pStyle w:val="Heading2"/>
      </w:pPr>
      <w:r>
        <w:t>ComCrop</w:t>
      </w:r>
    </w:p>
    <w:p>
      <w:r>
        <w:t>Rooftop hydroponics integrates sunlight, supplemental light, monitoring and manual crop operations.</w:t>
      </w:r>
    </w:p>
    <w:p>
      <w:pPr>
        <w:pStyle w:val="Heading2"/>
      </w:pPr>
      <w:r>
        <w:t>Sustenir</w:t>
      </w:r>
    </w:p>
    <w:p>
      <w:r>
        <w:t>Controlled-environment vertical NFT demonstrates high area productivity and recirculation.</w:t>
      </w:r>
    </w:p>
    <w:p>
      <w:pPr>
        <w:pStyle w:val="Heading2"/>
      </w:pPr>
      <w:r>
        <w:t>Singrow</w:t>
      </w:r>
    </w:p>
    <w:p>
      <w:r>
        <w:t>Cultivar development, controlled environment and automation target temperate crops in tropical conditions.</w:t>
      </w:r>
    </w:p>
    <w:p>
      <w:pPr>
        <w:pStyle w:val="Heading2"/>
      </w:pPr>
      <w:r>
        <w:t>Greenphyto</w:t>
      </w:r>
    </w:p>
    <w:p>
      <w:r>
        <w:t>The 2026 multi-storey project demonstrates the scale-and-automation thesis; reported capacity must be separated from realised output.</w:t>
      </w:r>
    </w:p>
    <w:p>
      <w:pPr>
        <w:pStyle w:val="Heading1"/>
      </w:pPr>
      <w:r>
        <w:t>6. Aquaponics</w:t>
      </w:r>
    </w:p>
    <w:p>
      <w:pPr>
        <w:pStyle w:val="Heading2"/>
      </w:pPr>
      <w:r>
        <w:t>Coupled biology</w:t>
      </w:r>
    </w:p>
    <w:p>
      <w:r>
        <w:t>Fish, nitrifying microbes and plants share water and risk.</w:t>
      </w:r>
    </w:p>
    <w:p>
      <w:pPr>
        <w:pStyle w:val="Heading2"/>
      </w:pPr>
      <w:r>
        <w:t>Nitrogen conversion</w:t>
      </w:r>
    </w:p>
    <w:p>
      <w:r>
        <w:t>Ammonia is converted to nitrite then nitrate; ammonia and nitrite are critical hazards.</w:t>
      </w:r>
    </w:p>
    <w:p>
      <w:pPr>
        <w:pStyle w:val="Heading2"/>
      </w:pPr>
      <w:r>
        <w:t>Oxygen and pH</w:t>
      </w:r>
    </w:p>
    <w:p>
      <w:r>
        <w:t>Fish, roots and microbes all need oxygen; pH must balance animal health, nitrification and nutrient availability.</w:t>
      </w:r>
    </w:p>
    <w:p>
      <w:pPr>
        <w:pStyle w:val="Heading2"/>
      </w:pPr>
      <w:r>
        <w:t>Solids and biofilter</w:t>
      </w:r>
    </w:p>
    <w:p>
      <w:r>
        <w:t>Remove solids before they foul roots; protect attached nitrifiers from disinfectants and abrupt changes.</w:t>
      </w:r>
    </w:p>
    <w:p>
      <w:pPr>
        <w:pStyle w:val="Heading2"/>
      </w:pPr>
      <w:r>
        <w:t>System choice</w:t>
      </w:r>
    </w:p>
    <w:p>
      <w:r>
        <w:t>Aquaponics adds biological products and biological complexity; decoupling can separate optimisation at higher equipment and control cost.</w:t>
      </w:r>
    </w:p>
    <w:p>
      <w:pPr>
        <w:pStyle w:val="Heading1"/>
      </w:pPr>
      <w:r>
        <w:t>Detailed Procedure A — Farm Tour Evidence Walk</w:t>
      </w:r>
    </w:p>
    <w:p>
      <w:pPr>
        <w:pStyle w:val="ListNumber"/>
      </w:pPr>
      <w:r>
        <w:rPr>
          <w:b/>
        </w:rPr>
        <w:t>Attend the farm briefing and confirm permitted areas, photography rules and emergency instructions.</w:t>
      </w:r>
    </w:p>
    <w:p>
      <w:r>
        <w:t>Why: The farm is a live workplace and may contain commercial information.</w:t>
      </w:r>
    </w:p>
    <w:p>
      <w:r>
        <w:rPr>
          <w:b/>
        </w:rPr>
        <w:t xml:space="preserve">Acceptance evidence: </w:t>
      </w:r>
      <w:r>
        <w:t>Your checklist records the briefing and permission state.</w:t>
      </w:r>
    </w:p>
    <w:p>
      <w:pPr>
        <w:pStyle w:val="ListNumber"/>
      </w:pPr>
      <w:r>
        <w:rPr>
          <w:b/>
        </w:rPr>
        <w:t>Trace one water path from reservoir to delivery, root zone and return without touching equipment.</w:t>
      </w:r>
    </w:p>
    <w:p>
      <w:r>
        <w:t>Why: Flow-path understanding reveals system boundaries and single points of failure.</w:t>
      </w:r>
    </w:p>
    <w:p>
      <w:r>
        <w:rPr>
          <w:b/>
        </w:rPr>
        <w:t xml:space="preserve">Acceptance evidence: </w:t>
      </w:r>
      <w:r>
        <w:t>A labelled flow sketch with inlet, return, dosing/sample point and overflow.</w:t>
      </w:r>
    </w:p>
    <w:p>
      <w:pPr>
        <w:pStyle w:val="ListNumber"/>
      </w:pPr>
      <w:r>
        <w:rPr>
          <w:b/>
        </w:rPr>
        <w:t>Compare crop condition at inlet, middle and return positions and across tiers where present.</w:t>
      </w:r>
    </w:p>
    <w:p>
      <w:r>
        <w:t>Why: Spatial patterns help distinguish shared-input from local flow/light issues.</w:t>
      </w:r>
    </w:p>
    <w:p>
      <w:r>
        <w:rPr>
          <w:b/>
        </w:rPr>
        <w:t xml:space="preserve">Acceptance evidence: </w:t>
      </w:r>
      <w:r>
        <w:t>Three concise observation notes and permitted photographs where allowed.</w:t>
      </w:r>
    </w:p>
    <w:p>
      <w:pPr>
        <w:pStyle w:val="ListNumber"/>
      </w:pPr>
      <w:r>
        <w:rPr>
          <w:b/>
        </w:rPr>
        <w:t>Record how pH, EC, temperature and level/flow are measured and corrected.</w:t>
      </w:r>
    </w:p>
    <w:p>
      <w:r>
        <w:t>Why: An operating control requires instrument, setpoint, frequency, action and verification.</w:t>
      </w:r>
    </w:p>
    <w:p>
      <w:r>
        <w:rPr>
          <w:b/>
        </w:rPr>
        <w:t xml:space="preserve">Acceptance evidence: </w:t>
      </w:r>
      <w:r>
        <w:t>Completed water/nutrient control row with observation versus operator claim labelled.</w:t>
      </w:r>
    </w:p>
    <w:p>
      <w:pPr>
        <w:pStyle w:val="ListNumber"/>
      </w:pPr>
      <w:r>
        <w:rPr>
          <w:b/>
        </w:rPr>
        <w:t>Inspect WSH, food safety, pest monitoring, housekeeping and maintenance evidence.</w:t>
      </w:r>
    </w:p>
    <w:p>
      <w:r>
        <w:t>Why: Safe compliant production depends on controls beyond plant growth.</w:t>
      </w:r>
    </w:p>
    <w:p>
      <w:r>
        <w:rPr>
          <w:b/>
        </w:rPr>
        <w:t xml:space="preserve">Acceptance evidence: </w:t>
      </w:r>
      <w:r>
        <w:t>At least one existing control and one improvement opportunity, with no personal data.</w:t>
      </w:r>
    </w:p>
    <w:p>
      <w:pPr>
        <w:pStyle w:val="ListNumber"/>
      </w:pPr>
      <w:r>
        <w:rPr>
          <w:b/>
        </w:rPr>
        <w:t>Review the checklist with a peer, resolve unclear statements and submit the PDF evidence set.</w:t>
      </w:r>
    </w:p>
    <w:p>
      <w:r>
        <w:t>Why: Peer review improves factual clarity and separates inference from observation.</w:t>
      </w:r>
    </w:p>
    <w:p>
      <w:r>
        <w:rPr>
          <w:b/>
        </w:rPr>
        <w:t xml:space="preserve">Acceptance evidence: </w:t>
      </w:r>
      <w:r>
        <w:t>Signed checklist, flow sketch and only permitted photographs.</w:t>
      </w:r>
    </w:p>
    <w:p>
      <w:pPr>
        <w:pStyle w:val="Heading1"/>
      </w:pPr>
      <w:r>
        <w:t>Detailed Procedure B — Commission and Operate a Hydroponics Kit</w:t>
      </w:r>
    </w:p>
    <w:p>
      <w:pPr>
        <w:pStyle w:val="ListNumber"/>
      </w:pPr>
      <w:r>
        <w:rPr>
          <w:b/>
        </w:rPr>
        <w:t>Read the kit SOP; identify pump, reservoir, channel, tubing, return, planting sites and electrical isolation.</w:t>
      </w:r>
    </w:p>
    <w:p>
      <w:r>
        <w:t>Why: Correct component identification prevents unsafe assembly and misrouting.</w:t>
      </w:r>
    </w:p>
    <w:p>
      <w:r>
        <w:rPr>
          <w:b/>
        </w:rPr>
        <w:t xml:space="preserve">Acceptance evidence: </w:t>
      </w:r>
      <w:r>
        <w:t>Component check complete; no damaged or unknown parts.</w:t>
      </w:r>
    </w:p>
    <w:p>
      <w:pPr>
        <w:pStyle w:val="ListNumber"/>
      </w:pPr>
      <w:r>
        <w:rPr>
          <w:b/>
        </w:rPr>
        <w:t>Inspect for cleanliness, stability, cable damage, tubing kinks and safe separation of water and power.</w:t>
      </w:r>
    </w:p>
    <w:p>
      <w:r>
        <w:t>Why: Visual acceptance prevents leaks, collapse and electrical exposure.</w:t>
      </w:r>
    </w:p>
    <w:p>
      <w:r>
        <w:rPr>
          <w:b/>
        </w:rPr>
        <w:t xml:space="preserve">Acceptance evidence: </w:t>
      </w:r>
      <w:r>
        <w:t>Pre-use inspection signed; defects quarantined and reported.</w:t>
      </w:r>
    </w:p>
    <w:p>
      <w:pPr>
        <w:pStyle w:val="ListNumber"/>
      </w:pPr>
      <w:r>
        <w:rPr>
          <w:b/>
        </w:rPr>
        <w:t>Assemble only as shown in the SOP, fill with source water, keep electrical connectors dry and check for leaks before energising.</w:t>
      </w:r>
    </w:p>
    <w:p>
      <w:r>
        <w:t>Why: Dry inspection and controlled filling limit spill and electrical consequence.</w:t>
      </w:r>
    </w:p>
    <w:p>
      <w:r>
        <w:rPr>
          <w:b/>
        </w:rPr>
        <w:t xml:space="preserve">Acceptance evidence: </w:t>
      </w:r>
      <w:r>
        <w:t>Stable leak-free kit before power-on.</w:t>
      </w:r>
    </w:p>
    <w:p>
      <w:pPr>
        <w:pStyle w:val="ListNumber"/>
      </w:pPr>
      <w:r>
        <w:rPr>
          <w:b/>
        </w:rPr>
        <w:t>Energise the pump and confirm delivery to every planting site, unobstructed return and adequate reservoir freeboard.</w:t>
      </w:r>
    </w:p>
    <w:p>
      <w:r>
        <w:t>Why: The farthest site and return behaviour establish functional flow.</w:t>
      </w:r>
    </w:p>
    <w:p>
      <w:r>
        <w:rPr>
          <w:b/>
        </w:rPr>
        <w:t xml:space="preserve">Acceptance evidence: </w:t>
      </w:r>
      <w:r>
        <w:t>Flow verification recorded; no overflow or abnormal noise.</w:t>
      </w:r>
    </w:p>
    <w:p>
      <w:pPr>
        <w:pStyle w:val="ListNumber"/>
      </w:pPr>
      <w:r>
        <w:rPr>
          <w:b/>
        </w:rPr>
        <w:t>Measure and record source-water pH, EC and temperature using calibrated meters.</w:t>
      </w:r>
    </w:p>
    <w:p>
      <w:r>
        <w:t>Why: Baseline separates source-water chemistry from nutrient addition.</w:t>
      </w:r>
    </w:p>
    <w:p>
      <w:r>
        <w:rPr>
          <w:b/>
        </w:rPr>
        <w:t xml:space="preserve">Acceptance evidence: </w:t>
      </w:r>
      <w:r>
        <w:t>Time-stamped values with units, meter IDs and calibration status.</w:t>
      </w:r>
    </w:p>
    <w:p>
      <w:pPr>
        <w:pStyle w:val="ListNumber"/>
      </w:pPr>
      <w:r>
        <w:rPr>
          <w:b/>
        </w:rPr>
        <w:t>Add the trainer-specified Part A dose to water, circulate, then add Part B and circulate; never mix concentrates directly.</w:t>
      </w:r>
    </w:p>
    <w:p>
      <w:r>
        <w:t>Why: Separation prevents concentrated calcium/phosphate/sulfate precipitation.</w:t>
      </w:r>
    </w:p>
    <w:p>
      <w:r>
        <w:rPr>
          <w:b/>
        </w:rPr>
        <w:t xml:space="preserve">Acceptance evidence: </w:t>
      </w:r>
      <w:r>
        <w:t>No visible precipitate; dose and mixing times recorded.</w:t>
      </w:r>
    </w:p>
    <w:p>
      <w:pPr>
        <w:pStyle w:val="ListNumber"/>
      </w:pPr>
      <w:r>
        <w:rPr>
          <w:b/>
        </w:rPr>
        <w:t>Measure EC; make only small trainer-approved corrections with circulation between additions.</w:t>
      </w:r>
    </w:p>
    <w:p>
      <w:r>
        <w:t>Why: Incremental correction reduces overshoot.</w:t>
      </w:r>
    </w:p>
    <w:p>
      <w:r>
        <w:rPr>
          <w:b/>
        </w:rPr>
        <w:t xml:space="preserve">Acceptance evidence: </w:t>
      </w:r>
      <w:r>
        <w:t>EC is within the activity setpoint; before/action/after log complete.</w:t>
      </w:r>
    </w:p>
    <w:p>
      <w:pPr>
        <w:pStyle w:val="ListNumber"/>
      </w:pPr>
      <w:r>
        <w:rPr>
          <w:b/>
        </w:rPr>
        <w:t>Measure pH; if adjustment is authorised, use the labelled product, PPE and dedicated dosing tool, then circulate and remeasure.</w:t>
      </w:r>
    </w:p>
    <w:p>
      <w:r>
        <w:t>Why: Acid/alkali dosing is a chemical task with a stop condition.</w:t>
      </w:r>
    </w:p>
    <w:p>
      <w:r>
        <w:rPr>
          <w:b/>
        </w:rPr>
        <w:t xml:space="preserve">Acceptance evidence: </w:t>
      </w:r>
      <w:r>
        <w:t>pH is within setpoint and all additions are recorded.</w:t>
      </w:r>
    </w:p>
    <w:p>
      <w:pPr>
        <w:pStyle w:val="ListNumber"/>
      </w:pPr>
      <w:r>
        <w:rPr>
          <w:b/>
        </w:rPr>
        <w:t>Place an accepted seedling so its plug is supported, roots meet moisture and the crown remains stable.</w:t>
      </w:r>
    </w:p>
    <w:p>
      <w:r>
        <w:t>Why: Correct placement supports root access without stem/crown damage.</w:t>
      </w:r>
    </w:p>
    <w:p>
      <w:r>
        <w:rPr>
          <w:b/>
        </w:rPr>
        <w:t xml:space="preserve">Acceptance evidence: </w:t>
      </w:r>
      <w:r>
        <w:t>Seedling label, centred plug and intact healthy root evidence.</w:t>
      </w:r>
    </w:p>
    <w:p>
      <w:pPr>
        <w:pStyle w:val="ListNumber"/>
      </w:pPr>
      <w:r>
        <w:rPr>
          <w:b/>
        </w:rPr>
        <w:t>Conduct the trainer-controlled power-off/restart check only where spill and electrical controls are adequate.</w:t>
      </w:r>
    </w:p>
    <w:p>
      <w:r>
        <w:t>Why: Commissioning must verify drain-down, reservoir capacity and restart recovery.</w:t>
      </w:r>
    </w:p>
    <w:p>
      <w:r>
        <w:rPr>
          <w:b/>
        </w:rPr>
        <w:t xml:space="preserve">Acceptance evidence: </w:t>
      </w:r>
      <w:r>
        <w:t>No overflow/siphon issue; flow returns to every site after restart.</w:t>
      </w:r>
    </w:p>
    <w:p>
      <w:pPr>
        <w:pStyle w:val="ListNumber"/>
      </w:pPr>
      <w:r>
        <w:rPr>
          <w:b/>
        </w:rPr>
        <w:t>Record final values and obtain trainer verification before draining.</w:t>
      </w:r>
    </w:p>
    <w:p>
      <w:r>
        <w:t>Why: The finished state must be demonstrably controlled.</w:t>
      </w:r>
    </w:p>
    <w:p>
      <w:r>
        <w:rPr>
          <w:b/>
        </w:rPr>
        <w:t xml:space="preserve">Acceptance evidence: </w:t>
      </w:r>
      <w:r>
        <w:t>Final pH/EC/temperature/flow record and trainer check.</w:t>
      </w:r>
    </w:p>
    <w:p>
      <w:pPr>
        <w:pStyle w:val="ListNumber"/>
      </w:pPr>
      <w:r>
        <w:rPr>
          <w:b/>
        </w:rPr>
        <w:t>Isolate power, drain through the approved route, remove residue, clean, rinse, dry, reassemble and store.</w:t>
      </w:r>
    </w:p>
    <w:p>
      <w:r>
        <w:t>Why: Cleaning and maintenance prevent contamination and preserve equipment readiness.</w:t>
      </w:r>
    </w:p>
    <w:p>
      <w:r>
        <w:rPr>
          <w:b/>
        </w:rPr>
        <w:t xml:space="preserve">Acceptance evidence: </w:t>
      </w:r>
      <w:r>
        <w:t>Dry complete kit, chemicals secured, maintenance/defect log completed.</w:t>
      </w:r>
    </w:p>
    <w:p>
      <w:pPr>
        <w:pStyle w:val="Heading1"/>
      </w:pPr>
      <w:r>
        <w:t>Troubleshooting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EF4"/>
          </w:tcPr>
          <w:p>
            <w:r>
              <w:t>Observation</w:t>
            </w:r>
          </w:p>
        </w:tc>
        <w:tc>
          <w:tcPr>
            <w:tcW w:type="dxa" w:w="2520"/>
            <w:shd w:fill="DCEEF4"/>
          </w:tcPr>
          <w:p>
            <w:r>
              <w:t>Check first</w:t>
            </w:r>
          </w:p>
        </w:tc>
        <w:tc>
          <w:tcPr>
            <w:tcW w:type="dxa" w:w="2520"/>
            <w:shd w:fill="DCEEF4"/>
          </w:tcPr>
          <w:p>
            <w:r>
              <w:t>Do not assume</w:t>
            </w:r>
          </w:p>
        </w:tc>
        <w:tc>
          <w:tcPr>
            <w:tcW w:type="dxa" w:w="2520"/>
            <w:shd w:fill="DCEEF4"/>
          </w:tcPr>
          <w:p>
            <w:r>
              <w:t>Escalation/acceptance</w:t>
            </w:r>
          </w:p>
        </w:tc>
      </w:tr>
      <w:tr>
        <w:tc>
          <w:tcPr>
            <w:tcW w:type="dxa" w:w="2520"/>
          </w:tcPr>
          <w:p>
            <w:r>
              <w:t>Wilting with full reservoir</w:t>
            </w:r>
          </w:p>
        </w:tc>
        <w:tc>
          <w:tcPr>
            <w:tcW w:type="dxa" w:w="2520"/>
          </w:tcPr>
          <w:p>
            <w:r>
              <w:t>Flow, root condition, solution temperature, aeration</w:t>
            </w:r>
          </w:p>
        </w:tc>
        <w:tc>
          <w:tcPr>
            <w:tcW w:type="dxa" w:w="2520"/>
          </w:tcPr>
          <w:p>
            <w:r>
              <w:t>That more water or fertiliser is automatically needed</w:t>
            </w:r>
          </w:p>
        </w:tc>
        <w:tc>
          <w:tcPr>
            <w:tcW w:type="dxa" w:w="2520"/>
          </w:tcPr>
          <w:p>
            <w:r>
              <w:t>Restore flow/oxygen safely; isolate disease risk; record recovery</w:t>
            </w:r>
          </w:p>
        </w:tc>
      </w:tr>
      <w:tr>
        <w:tc>
          <w:tcPr>
            <w:tcW w:type="dxa" w:w="2520"/>
          </w:tcPr>
          <w:p>
            <w:r>
              <w:t>EC rises as level falls</w:t>
            </w:r>
          </w:p>
        </w:tc>
        <w:tc>
          <w:tcPr>
            <w:tcW w:type="dxa" w:w="2520"/>
          </w:tcPr>
          <w:p>
            <w:r>
              <w:t>Water loss, top-up history, instrument verification</w:t>
            </w:r>
          </w:p>
        </w:tc>
        <w:tc>
          <w:tcPr>
            <w:tcW w:type="dxa" w:w="2520"/>
          </w:tcPr>
          <w:p>
            <w:r>
              <w:t>That the nutrient recipe is too strong</w:t>
            </w:r>
          </w:p>
        </w:tc>
        <w:tc>
          <w:tcPr>
            <w:tcW w:type="dxa" w:w="2520"/>
          </w:tcPr>
          <w:p>
            <w:r>
              <w:t>Follow SOP top-up/correction and verify after mixing</w:t>
            </w:r>
          </w:p>
        </w:tc>
      </w:tr>
      <w:tr>
        <w:tc>
          <w:tcPr>
            <w:tcW w:type="dxa" w:w="2520"/>
          </w:tcPr>
          <w:p>
            <w:r>
              <w:t>pH repeatedly rises</w:t>
            </w:r>
          </w:p>
        </w:tc>
        <w:tc>
          <w:tcPr>
            <w:tcW w:type="dxa" w:w="2520"/>
          </w:tcPr>
          <w:p>
            <w:r>
              <w:t>Source alkalinity, new media, uptake pattern</w:t>
            </w:r>
          </w:p>
        </w:tc>
        <w:tc>
          <w:tcPr>
            <w:tcW w:type="dxa" w:w="2520"/>
          </w:tcPr>
          <w:p>
            <w:r>
              <w:t>That one large acid dose is safe</w:t>
            </w:r>
          </w:p>
        </w:tc>
        <w:tc>
          <w:tcPr>
            <w:tcW w:type="dxa" w:w="2520"/>
          </w:tcPr>
          <w:p>
            <w:r>
              <w:t>Use incremental correction; escalate persistent rebound</w:t>
            </w:r>
          </w:p>
        </w:tc>
      </w:tr>
      <w:tr>
        <w:tc>
          <w:tcPr>
            <w:tcW w:type="dxa" w:w="2520"/>
          </w:tcPr>
          <w:p>
            <w:r>
              <w:t>Brown slimy roots</w:t>
            </w:r>
          </w:p>
        </w:tc>
        <w:tc>
          <w:tcPr>
            <w:tcW w:type="dxa" w:w="2520"/>
          </w:tcPr>
          <w:p>
            <w:r>
              <w:t>Temperature, DO/aeration, flow, odour, shared loop</w:t>
            </w:r>
          </w:p>
        </w:tc>
        <w:tc>
          <w:tcPr>
            <w:tcW w:type="dxa" w:w="2520"/>
          </w:tcPr>
          <w:p>
            <w:r>
              <w:t>That leaf feeding solves the root cause</w:t>
            </w:r>
          </w:p>
        </w:tc>
        <w:tc>
          <w:tcPr>
            <w:tcW w:type="dxa" w:w="2520"/>
          </w:tcPr>
          <w:p>
            <w:r>
              <w:t>Protect reservoir, isolate per SOP, sanitise only as approved</w:t>
            </w:r>
          </w:p>
        </w:tc>
      </w:tr>
      <w:tr>
        <w:tc>
          <w:tcPr>
            <w:tcW w:type="dxa" w:w="2520"/>
          </w:tcPr>
          <w:p>
            <w:r>
              <w:t>Uneven plants along channel</w:t>
            </w:r>
          </w:p>
        </w:tc>
        <w:tc>
          <w:tcPr>
            <w:tcW w:type="dxa" w:w="2520"/>
          </w:tcPr>
          <w:p>
            <w:r>
              <w:t>Delivered flow, slope, blockage, light uniformity</w:t>
            </w:r>
          </w:p>
        </w:tc>
        <w:tc>
          <w:tcPr>
            <w:tcW w:type="dxa" w:w="2520"/>
          </w:tcPr>
          <w:p>
            <w:r>
              <w:t>That seed genetics is the only cause</w:t>
            </w:r>
          </w:p>
        </w:tc>
        <w:tc>
          <w:tcPr>
            <w:tcW w:type="dxa" w:w="2520"/>
          </w:tcPr>
          <w:p>
            <w:r>
              <w:t>Correct physical non-uniformity and verify endpoint flow</w:t>
            </w:r>
          </w:p>
        </w:tc>
      </w:tr>
    </w:tbl>
    <w:p>
      <w:pPr>
        <w:pStyle w:val="Heading1"/>
      </w:pPr>
      <w:r>
        <w:t>References and Current Sources</w:t>
      </w:r>
    </w:p>
    <w:p>
      <w:r>
        <w:t>https://www.tertiarycourses.com.sg/wsq-basic-urban-farming-with-hydroponics.html</w:t>
      </w:r>
    </w:p>
    <w:p>
      <w:r>
        <w:t>https://www.sfa.gov.sg/news-publications/newsroom/singapore-food-statistics-2025</w:t>
      </w:r>
    </w:p>
    <w:p>
      <w:r>
        <w:t>https://www.mse.gov.sg/latest-news/oral-reply-to-parliamentary-question-on-revised-local-production-targets/</w:t>
      </w:r>
    </w:p>
    <w:p>
      <w:r>
        <w:t>https://www.sfa.gov.sg/food-science-and-technology/technology/agriculture-technologies</w:t>
      </w:r>
    </w:p>
    <w:p>
      <w:r>
        <w:t>https://www.sfa.gov.sg/fromSGtoSG/farms/farm/Detail/comcrop</w:t>
      </w:r>
    </w:p>
    <w:p>
      <w:r>
        <w:t>https://www.sfa.gov.sg/fromSGtoSG/farms/farm/Detail/sustenir-agriculture</w:t>
      </w:r>
    </w:p>
    <w:p>
      <w:r>
        <w:t>https://www.sfa.gov.sg/food-for-thought/article/detail/hydroponics-getting-to-the-root-of-the-myths</w:t>
      </w:r>
    </w:p>
    <w:p>
      <w:r>
        <w:t>https://www.sfa.gov.sg/recognition-programmes-grants/grants/agri-food-cluster-transformation-act-fund</w:t>
      </w:r>
    </w:p>
    <w:p>
      <w:r>
        <w:t>https://enterprise.nus.edu.sg/startup-story/singrow-2/</w:t>
      </w:r>
    </w:p>
    <w:p>
      <w:r>
        <w:t>https://www.businesstimes.com.sg/singapore/smes/singapore-food-output-gets-s80-million-boost-opening-greenphytos-vertical-farm-tallest-world</w:t>
      </w:r>
    </w:p>
    <w:p>
      <w:r>
        <w:t>https://www.rhs.org.uk/vegetables/hydroponics</w:t>
      </w:r>
    </w:p>
    <w:p>
      <w:r>
        <w:t>https://extension.illinois.edu/blogs/good-growing/2026-01-16-growing-without-soil-getting-started-hydroponics-home</w:t>
      </w:r>
    </w:p>
    <w:p>
      <w:r>
        <w:t>https://extension.unr.edu/publication.aspx?PubID=2756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970"/>
        <w:sz w:val="16"/>
      </w:rPr>
      <w:t>TGS-2025053916 · Basic Urban Farming with Hydroponics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5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C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58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5FA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