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LESSON PLAN</w:t>
      </w:r>
    </w:p>
    <w:p>
      <w:pPr>
        <w:jc w:val="center"/>
      </w:pPr>
      <w:r>
        <w:rPr>
          <w:b/>
          <w:sz w:val="44"/>
        </w:rPr>
        <w:t>Basic Urban Farming with Hydroponics</w:t>
      </w:r>
    </w:p>
    <w:p>
      <w:pPr>
        <w:jc w:val="center"/>
      </w:pPr>
      <w:r>
        <w:t>WSQ Course Code: TGS-2025053916</w:t>
        <w:br/>
        <w:t>Version 2.0 · 29 August 2026</w:t>
        <w:br/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EF4"/>
          </w:tcPr>
          <w:p>
            <w:r>
              <w:t>Version</w:t>
            </w:r>
          </w:p>
        </w:tc>
        <w:tc>
          <w:tcPr>
            <w:tcW w:type="dxa" w:w="2520"/>
            <w:shd w:fill="DCEEF4"/>
          </w:tcPr>
          <w:p>
            <w:r>
              <w:t>Date</w:t>
            </w:r>
          </w:p>
        </w:tc>
        <w:tc>
          <w:tcPr>
            <w:tcW w:type="dxa" w:w="2520"/>
            <w:shd w:fill="DCEEF4"/>
          </w:tcPr>
          <w:p>
            <w:r>
              <w:t>Description</w:t>
            </w:r>
          </w:p>
        </w:tc>
        <w:tc>
          <w:tcPr>
            <w:tcW w:type="dxa" w:w="2520"/>
            <w:shd w:fill="DCEEF4"/>
          </w:tcPr>
          <w:p>
            <w:r>
              <w:t>Approved by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24 March 2025</w:t>
            </w:r>
          </w:p>
        </w:tc>
        <w:tc>
          <w:tcPr>
            <w:tcW w:type="dxa" w:w="2520"/>
          </w:tcPr>
          <w:p>
            <w:r>
              <w:t>Legacy approved course package baseline.</w:t>
            </w:r>
          </w:p>
        </w:tc>
        <w:tc>
          <w:tcPr>
            <w:tcW w:type="dxa" w:w="2520"/>
          </w:tcPr>
          <w:p>
            <w:r>
              <w:t>Course Development Team</w:t>
            </w:r>
          </w:p>
        </w:tc>
      </w:tr>
      <w:tr>
        <w:tc>
          <w:tcPr>
            <w:tcW w:type="dxa" w:w="2520"/>
          </w:tcPr>
          <w:p>
            <w:r>
              <w:t>2.0</w:t>
            </w:r>
          </w:p>
        </w:tc>
        <w:tc>
          <w:tcPr>
            <w:tcW w:type="dxa" w:w="2520"/>
          </w:tcPr>
          <w:p>
            <w:r>
              <w:t>29 August 2026</w:t>
            </w:r>
          </w:p>
        </w:tc>
        <w:tc>
          <w:tcPr>
            <w:tcW w:type="dxa" w:w="2520"/>
          </w:tcPr>
          <w:p>
            <w:r>
              <w:t>Rebuilt lesson plan aligned to 8-hour delivery flow, v2.0 deck and activity evidence.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Delivery Schedule</w:t>
      </w:r>
    </w:p>
    <w:p>
      <w:pPr>
        <w:pStyle w:val="ListBullet"/>
      </w:pPr>
      <w:r>
        <w:t>Facilitation and Assessment Notes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4"/>
          </w:tcPr>
          <w:p>
            <w:r>
              <w:t>Course title</w:t>
            </w:r>
          </w:p>
        </w:tc>
        <w:tc>
          <w:tcPr>
            <w:tcW w:type="dxa" w:w="5040"/>
          </w:tcPr>
          <w:p>
            <w:r>
              <w:t>Basic Urban Farming with Hydroponics</w:t>
            </w:r>
          </w:p>
        </w:tc>
      </w:tr>
      <w:tr>
        <w:tc>
          <w:tcPr>
            <w:tcW w:type="dxa" w:w="5040"/>
            <w:shd w:fill="DCEEF4"/>
          </w:tcPr>
          <w:p>
            <w:r>
              <w:t>Course code</w:t>
            </w:r>
          </w:p>
        </w:tc>
        <w:tc>
          <w:tcPr>
            <w:tcW w:type="dxa" w:w="5040"/>
          </w:tcPr>
          <w:p>
            <w:r>
              <w:t>TGS-2025053916</w:t>
            </w:r>
          </w:p>
        </w:tc>
      </w:tr>
      <w:tr>
        <w:tc>
          <w:tcPr>
            <w:tcW w:type="dxa" w:w="5040"/>
            <w:shd w:fill="DCEEF4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1 day · 8 hours excluding lunch</w:t>
            </w:r>
          </w:p>
        </w:tc>
      </w:tr>
      <w:tr>
        <w:tc>
          <w:tcPr>
            <w:tcW w:type="dxa" w:w="5040"/>
            <w:shd w:fill="DCEEF4"/>
          </w:tcPr>
          <w:p>
            <w:r>
              <w:t>TSC</w:t>
            </w:r>
          </w:p>
        </w:tc>
        <w:tc>
          <w:tcPr>
            <w:tcW w:type="dxa" w:w="5040"/>
          </w:tcPr>
          <w:p>
            <w:r>
              <w:t>AGR-FOP-2002-1.1 Urban Farming Implementation and Management Control</w:t>
            </w:r>
          </w:p>
        </w:tc>
      </w:tr>
      <w:tr>
        <w:tc>
          <w:tcPr>
            <w:tcW w:type="dxa" w:w="5040"/>
            <w:shd w:fill="DCEEF4"/>
          </w:tcPr>
          <w:p>
            <w:r>
              <w:t>Assessment</w:t>
            </w:r>
          </w:p>
        </w:tc>
        <w:tc>
          <w:tcPr>
            <w:tcW w:type="dxa" w:w="5040"/>
          </w:tcPr>
          <w:p>
            <w:r>
              <w:t>WA-SAQ 30 minutes; PP 30 minutes</w:t>
            </w:r>
          </w:p>
        </w:tc>
      </w:tr>
      <w:tr>
        <w:tc>
          <w:tcPr>
            <w:tcW w:type="dxa" w:w="5040"/>
            <w:shd w:fill="DCEEF4"/>
          </w:tcPr>
          <w:p>
            <w:r>
              <w:t>Venue</w:t>
            </w:r>
          </w:p>
        </w:tc>
        <w:tc>
          <w:tcPr>
            <w:tcW w:type="dxa" w:w="5040"/>
          </w:tcPr>
          <w:p>
            <w:r>
              <w:t>MEOD Farm, 13 Neo Tiew Harvest Lane, Singapore 719020 (verify joining instructions)</w:t>
            </w:r>
          </w:p>
        </w:tc>
      </w:tr>
    </w:tbl>
    <w:p>
      <w:pPr>
        <w:pStyle w:val="Heading1"/>
      </w:pPr>
      <w:r>
        <w:t>Delivery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EF4"/>
          </w:tcPr>
          <w:p>
            <w:r>
              <w:t>Time</w:t>
            </w:r>
          </w:p>
        </w:tc>
        <w:tc>
          <w:tcPr>
            <w:tcW w:type="dxa" w:w="1680"/>
            <w:shd w:fill="DCEEF4"/>
          </w:tcPr>
          <w:p>
            <w:r>
              <w:t>Duration</w:t>
            </w:r>
          </w:p>
        </w:tc>
        <w:tc>
          <w:tcPr>
            <w:tcW w:type="dxa" w:w="1680"/>
            <w:shd w:fill="DCEEF4"/>
          </w:tcPr>
          <w:p>
            <w:r>
              <w:t>Topic / slides</w:t>
            </w:r>
          </w:p>
        </w:tc>
        <w:tc>
          <w:tcPr>
            <w:tcW w:type="dxa" w:w="1680"/>
            <w:shd w:fill="DCEEF4"/>
          </w:tcPr>
          <w:p>
            <w:r>
              <w:t>Facilitation</w:t>
            </w:r>
          </w:p>
        </w:tc>
        <w:tc>
          <w:tcPr>
            <w:tcW w:type="dxa" w:w="1680"/>
            <w:shd w:fill="DCEEF4"/>
          </w:tcPr>
          <w:p>
            <w:r>
              <w:t>Learner evidence</w:t>
            </w:r>
          </w:p>
        </w:tc>
        <w:tc>
          <w:tcPr>
            <w:tcW w:type="dxa" w:w="1680"/>
            <w:shd w:fill="DCEEF4"/>
          </w:tcPr>
          <w:p>
            <w:r>
              <w:t>Resources</w:t>
            </w:r>
          </w:p>
        </w:tc>
      </w:tr>
      <w:tr>
        <w:tc>
          <w:tcPr>
            <w:tcW w:type="dxa" w:w="1680"/>
          </w:tcPr>
          <w:p>
            <w:r>
              <w:t>09:00–09:30</w:t>
            </w:r>
          </w:p>
        </w:tc>
        <w:tc>
          <w:tcPr>
            <w:tcW w:type="dxa" w:w="1680"/>
          </w:tcPr>
          <w:p>
            <w:r>
              <w:t>0.5 h</w:t>
            </w:r>
          </w:p>
        </w:tc>
        <w:tc>
          <w:tcPr>
            <w:tcW w:type="dxa" w:w="1680"/>
          </w:tcPr>
          <w:p>
            <w:r>
              <w:t>Briefing, profiles, access, outcomes and safety · slides 1–17</w:t>
            </w:r>
          </w:p>
        </w:tc>
        <w:tc>
          <w:tcPr>
            <w:tcW w:type="dxa" w:w="1680"/>
          </w:tcPr>
          <w:p>
            <w:r>
              <w:t>Questioning; access and equipment-risk examples</w:t>
            </w:r>
          </w:p>
        </w:tc>
        <w:tc>
          <w:tcPr>
            <w:tcW w:type="dxa" w:w="1680"/>
          </w:tcPr>
          <w:p>
            <w:r>
              <w:t>Verbal checks</w:t>
            </w:r>
          </w:p>
        </w:tc>
        <w:tc>
          <w:tcPr>
            <w:tcW w:type="dxa" w:w="1680"/>
          </w:tcPr>
          <w:p>
            <w:r>
              <w:t>Deck, LG</w:t>
            </w:r>
          </w:p>
        </w:tc>
      </w:tr>
      <w:tr>
        <w:tc>
          <w:tcPr>
            <w:tcW w:type="dxa" w:w="1680"/>
          </w:tcPr>
          <w:p>
            <w:r>
              <w:t>09:30–10:30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Foundations and systems · slides 18–45</w:t>
            </w:r>
          </w:p>
        </w:tc>
        <w:tc>
          <w:tcPr>
            <w:tcW w:type="dxa" w:w="1680"/>
          </w:tcPr>
          <w:p>
            <w:r>
              <w:t>Mechanism diagrams; system comparison</w:t>
            </w:r>
          </w:p>
        </w:tc>
        <w:tc>
          <w:tcPr>
            <w:tcW w:type="dxa" w:w="1680"/>
          </w:tcPr>
          <w:p>
            <w:r>
              <w:t>System-selection rationale</w:t>
            </w:r>
          </w:p>
        </w:tc>
        <w:tc>
          <w:tcPr>
            <w:tcW w:type="dxa" w:w="1680"/>
          </w:tcPr>
          <w:p>
            <w:r>
              <w:t>Deck, legacy visuals</w:t>
            </w:r>
          </w:p>
        </w:tc>
      </w:tr>
      <w:tr>
        <w:tc>
          <w:tcPr>
            <w:tcW w:type="dxa" w:w="1680"/>
          </w:tcPr>
          <w:p>
            <w:r>
              <w:t>10:30–10:45</w:t>
            </w:r>
          </w:p>
        </w:tc>
        <w:tc>
          <w:tcPr>
            <w:tcW w:type="dxa" w:w="1680"/>
          </w:tcPr>
          <w:p>
            <w:r>
              <w:t>0.25 h</w:t>
            </w:r>
          </w:p>
        </w:tc>
        <w:tc>
          <w:tcPr>
            <w:tcW w:type="dxa" w:w="1680"/>
          </w:tcPr>
          <w:p>
            <w:r>
              <w:t>Break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10:45–12:30</w:t>
            </w:r>
          </w:p>
        </w:tc>
        <w:tc>
          <w:tcPr>
            <w:tcW w:type="dxa" w:w="1680"/>
          </w:tcPr>
          <w:p>
            <w:r>
              <w:t>1.75 h</w:t>
            </w:r>
          </w:p>
        </w:tc>
        <w:tc>
          <w:tcPr>
            <w:tcW w:type="dxa" w:w="1680"/>
          </w:tcPr>
          <w:p>
            <w:r>
              <w:t>Water, nutrients, crop controls and Singapore cases · slides 46–96</w:t>
            </w:r>
          </w:p>
        </w:tc>
        <w:tc>
          <w:tcPr>
            <w:tcW w:type="dxa" w:w="1680"/>
          </w:tcPr>
          <w:p>
            <w:r>
              <w:t>Data interpretation; Singapore cases; root diagnosis</w:t>
            </w:r>
          </w:p>
        </w:tc>
        <w:tc>
          <w:tcPr>
            <w:tcW w:type="dxa" w:w="1680"/>
          </w:tcPr>
          <w:p>
            <w:r>
              <w:t>pH/EC reasoning; case critique</w:t>
            </w:r>
          </w:p>
        </w:tc>
        <w:tc>
          <w:tcPr>
            <w:tcW w:type="dxa" w:w="1680"/>
          </w:tcPr>
          <w:p>
            <w:r>
              <w:t>Deck, meters, LG</w:t>
            </w:r>
          </w:p>
        </w:tc>
      </w:tr>
      <w:tr>
        <w:tc>
          <w:tcPr>
            <w:tcW w:type="dxa" w:w="1680"/>
          </w:tcPr>
          <w:p>
            <w:r>
              <w:t>12:30–13:30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Lunch (not counted)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13:30–14:30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Farm tour · slides 97–106</w:t>
            </w:r>
          </w:p>
        </w:tc>
        <w:tc>
          <w:tcPr>
            <w:tcW w:type="dxa" w:w="1680"/>
          </w:tcPr>
          <w:p>
            <w:r>
              <w:t>Guided observation; C/O/I evidence coaching</w:t>
            </w:r>
          </w:p>
        </w:tc>
        <w:tc>
          <w:tcPr>
            <w:tcW w:type="dxa" w:w="1680"/>
          </w:tcPr>
          <w:p>
            <w:r>
              <w:t>Completed farm-tour checklist</w:t>
            </w:r>
          </w:p>
        </w:tc>
        <w:tc>
          <w:tcPr>
            <w:tcW w:type="dxa" w:w="1680"/>
          </w:tcPr>
          <w:p>
            <w:r>
              <w:t>Activity 01 PDF</w:t>
            </w:r>
          </w:p>
        </w:tc>
      </w:tr>
      <w:tr>
        <w:tc>
          <w:tcPr>
            <w:tcW w:type="dxa" w:w="1680"/>
          </w:tcPr>
          <w:p>
            <w:r>
              <w:t>14:30–16:00</w:t>
            </w:r>
          </w:p>
        </w:tc>
        <w:tc>
          <w:tcPr>
            <w:tcW w:type="dxa" w:w="1680"/>
          </w:tcPr>
          <w:p>
            <w:r>
              <w:t>1.5 h</w:t>
            </w:r>
          </w:p>
        </w:tc>
        <w:tc>
          <w:tcPr>
            <w:tcW w:type="dxa" w:w="1680"/>
          </w:tcPr>
          <w:p>
            <w:r>
              <w:t>Hydroponics kit practice · slides 107–118</w:t>
            </w:r>
          </w:p>
        </w:tc>
        <w:tc>
          <w:tcPr>
            <w:tcW w:type="dxa" w:w="1680"/>
          </w:tcPr>
          <w:p>
            <w:r>
              <w:t>Demonstrate then coach against SOP; observe A1–A4</w:t>
            </w:r>
          </w:p>
        </w:tc>
        <w:tc>
          <w:tcPr>
            <w:tcW w:type="dxa" w:w="1680"/>
          </w:tcPr>
          <w:p>
            <w:r>
              <w:t>Commissioning and correction record</w:t>
            </w:r>
          </w:p>
        </w:tc>
        <w:tc>
          <w:tcPr>
            <w:tcW w:type="dxa" w:w="1680"/>
          </w:tcPr>
          <w:p>
            <w:r>
              <w:t>Kit, PPE, meters, Activity 02 PDF</w:t>
            </w:r>
          </w:p>
        </w:tc>
      </w:tr>
      <w:tr>
        <w:tc>
          <w:tcPr>
            <w:tcW w:type="dxa" w:w="1680"/>
          </w:tcPr>
          <w:p>
            <w:r>
              <w:t>16:00–16:15</w:t>
            </w:r>
          </w:p>
        </w:tc>
        <w:tc>
          <w:tcPr>
            <w:tcW w:type="dxa" w:w="1680"/>
          </w:tcPr>
          <w:p>
            <w:r>
              <w:t>0.25 h</w:t>
            </w:r>
          </w:p>
        </w:tc>
        <w:tc>
          <w:tcPr>
            <w:tcW w:type="dxa" w:w="1680"/>
          </w:tcPr>
          <w:p>
            <w:r>
              <w:t>Break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  <w:tr>
        <w:tc>
          <w:tcPr>
            <w:tcW w:type="dxa" w:w="1680"/>
          </w:tcPr>
          <w:p>
            <w:r>
              <w:t>16:15–17:00</w:t>
            </w:r>
          </w:p>
        </w:tc>
        <w:tc>
          <w:tcPr>
            <w:tcW w:type="dxa" w:w="1680"/>
          </w:tcPr>
          <w:p>
            <w:r>
              <w:t>0.75 h</w:t>
            </w:r>
          </w:p>
        </w:tc>
        <w:tc>
          <w:tcPr>
            <w:tcW w:type="dxa" w:w="1680"/>
          </w:tcPr>
          <w:p>
            <w:r>
              <w:t>Aquaponics theory · slides 119–131</w:t>
            </w:r>
          </w:p>
        </w:tc>
        <w:tc>
          <w:tcPr>
            <w:tcW w:type="dxa" w:w="1680"/>
          </w:tcPr>
          <w:p>
            <w:r>
              <w:t>Nitrogen-cycle loop; coupled-risk diagnosis</w:t>
            </w:r>
          </w:p>
        </w:tc>
        <w:tc>
          <w:tcPr>
            <w:tcW w:type="dxa" w:w="1680"/>
          </w:tcPr>
          <w:p>
            <w:r>
              <w:t>Aquaponics fault explanation</w:t>
            </w:r>
          </w:p>
        </w:tc>
        <w:tc>
          <w:tcPr>
            <w:tcW w:type="dxa" w:w="1680"/>
          </w:tcPr>
          <w:p>
            <w:r>
              <w:t>Deck, LG</w:t>
            </w:r>
          </w:p>
        </w:tc>
      </w:tr>
      <w:tr>
        <w:tc>
          <w:tcPr>
            <w:tcW w:type="dxa" w:w="1680"/>
          </w:tcPr>
          <w:p>
            <w:r>
              <w:t>17:00–18:00</w:t>
            </w:r>
          </w:p>
        </w:tc>
        <w:tc>
          <w:tcPr>
            <w:tcW w:type="dxa" w:w="1680"/>
          </w:tcPr>
          <w:p>
            <w:r>
              <w:t>1.0 h</w:t>
            </w:r>
          </w:p>
        </w:tc>
        <w:tc>
          <w:tcPr>
            <w:tcW w:type="dxa" w:w="1680"/>
          </w:tcPr>
          <w:p>
            <w:r>
              <w:t>Assessment and close · slides 132–139</w:t>
            </w:r>
          </w:p>
        </w:tc>
        <w:tc>
          <w:tcPr>
            <w:tcW w:type="dxa" w:w="1680"/>
          </w:tcPr>
          <w:p>
            <w:r>
              <w:t>Administer WA-SAQ then PP; feedback</w:t>
            </w:r>
          </w:p>
        </w:tc>
        <w:tc>
          <w:tcPr>
            <w:tcW w:type="dxa" w:w="1680"/>
          </w:tcPr>
          <w:p>
            <w:r>
              <w:t>Candidate responses and assessor observation</w:t>
            </w:r>
          </w:p>
        </w:tc>
        <w:tc>
          <w:tcPr>
            <w:tcW w:type="dxa" w:w="1680"/>
          </w:tcPr>
          <w:p>
            <w:r>
              <w:t>Assessment papers</w:t>
            </w:r>
          </w:p>
        </w:tc>
      </w:tr>
    </w:tbl>
    <w:p>
      <w:r>
        <w:t>Final slide ranges are subject to the generated deck inventory (139 slides); the trainer should use the section dividers and slide-map JSON for exact navigation.</w:t>
      </w:r>
    </w:p>
    <w:p>
      <w:pPr>
        <w:pStyle w:val="Heading1"/>
      </w:pPr>
      <w:r>
        <w:t>Facilitation and Assessment Notes</w:t>
      </w:r>
    </w:p>
    <w:p>
      <w:pPr>
        <w:pStyle w:val="ListBullet"/>
      </w:pPr>
      <w:r>
        <w:t>Do not present the detailed operating procedure from slides; use the Learner Guide and activity PDFs at the workbench.</w:t>
      </w:r>
    </w:p>
    <w:p>
      <w:pPr>
        <w:pStyle w:val="ListBullet"/>
      </w:pPr>
      <w:r>
        <w:t>Before the farm tour, confirm site rules, photography permissions, emergency arrangements and learner accessibility needs.</w:t>
      </w:r>
    </w:p>
    <w:p>
      <w:pPr>
        <w:pStyle w:val="ListBullet"/>
      </w:pPr>
      <w:r>
        <w:t>Use questioning to test why each control exists, not only whether a learner can repeat a setpoint.</w:t>
      </w:r>
    </w:p>
    <w:p>
      <w:pPr>
        <w:pStyle w:val="ListBullet"/>
      </w:pPr>
      <w:r>
        <w:t>For practical performance, observe safe preparation, operation to target, compliance/housekeeping and cleaning/maintenance.</w:t>
      </w:r>
    </w:p>
    <w:p>
      <w:pPr>
        <w:pStyle w:val="ListBullet"/>
      </w:pPr>
      <w:r>
        <w:t>Stop any task when equipment, chemical, electrical or hygiene controls are missing.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970"/>
        <w:sz w:val="16"/>
      </w:rPr>
      <w:t>TGS-2025053916 · Basic Urban Farming with Hydroponics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C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58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5FA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