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 Training</w:t>
      </w:r>
    </w:p>
    <w:p>
      <w:pPr>
        <w:spacing w:before="80" w:after="280"/>
        <w:jc w:val="center"/>
      </w:pPr>
      <w:r>
        <w:rPr>
          <w:b w:val="0"/>
          <w:color w:val="111827"/>
          <w:sz w:val="24"/>
        </w:rPr>
        <w:t>TGS Ref No: TGS-2025053922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r>
              <w:rPr>
                <w:sz w:val="19"/>
              </w:rPr>
              <w:t>Aligned lab content with the Contoso Service Desk case-study assessment.</w:t>
            </w:r>
          </w:p>
        </w:tc>
        <w:tc>
          <w:tcPr>
            <w:tcW w:type="dxa" w:w="2160"/>
          </w:tcPr>
          <w:p>
            <w:r/>
            <w:r>
              <w:rPr>
                <w:sz w:val="19"/>
              </w:rPr>
              <w:t>Dr. Alfred Ang</w:t>
            </w:r>
          </w:p>
        </w:tc>
      </w:tr>
      <w:tr>
        <w:tc>
          <w:tcPr>
            <w:tcW w:type="dxa" w:w="2160"/>
          </w:tcPr>
          <w:p>
            <w:r/>
            <w:r>
              <w:rPr>
                <w:sz w:val="19"/>
              </w:rPr>
              <w:t>4</w:t>
            </w:r>
          </w:p>
        </w:tc>
        <w:tc>
          <w:tcPr>
            <w:tcW w:type="dxa" w:w="2160"/>
          </w:tcPr>
          <w:p>
            <w:r/>
            <w:r>
              <w:rPr>
                <w:sz w:val="19"/>
              </w:rPr>
              <w:t>20 July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20 July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20 July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instrText xml:space="preserve">TOC \o "1-3" \h \z \u</w:instrText>
        <w:fldChar w:fldCharType="separate"/>
        <w:t xml:space="preserve">Introduction	5</w:t>
        <w:fldChar w:fldCharType="end"/>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Lab 1 — Yellow Belt Role, Certification Paths, and Improvement Scenario  [Core]</w:t>
        <w:tab/>
        <w:t>7</w:t>
      </w:r>
    </w:p>
    <w:p>
      <w:pPr>
        <w:tabs>
          <w:tab w:pos="9072" w:val="right" w:leader="dot"/>
        </w:tabs>
        <w:spacing w:after="60"/>
      </w:pPr>
      <w:r>
        <w:rPr>
          <w:rFonts w:ascii="Arial" w:hAnsi="Arial"/>
          <w:b/>
          <w:color w:val="333333"/>
          <w:sz w:val="22"/>
        </w:rPr>
        <w:t>DEFINE — Define — Scope the Problem  (25%)</w:t>
        <w:tab/>
        <w:t>8</w:t>
      </w:r>
    </w:p>
    <w:p>
      <w:pPr>
        <w:tabs>
          <w:tab w:pos="9072" w:val="right" w:leader="dot"/>
        </w:tabs>
        <w:spacing w:after="60"/>
        <w:ind w:left="432"/>
      </w:pPr>
      <w:r>
        <w:rPr>
          <w:rFonts w:ascii="Arial" w:hAnsi="Arial"/>
          <w:b w:val="0"/>
          <w:color w:val="333333"/>
          <w:sz w:val="21"/>
        </w:rPr>
        <w:t>Lab 2 — Lean, Six Sigma, Waste, Voice of Customer, and Value  [Core]</w:t>
        <w:tab/>
        <w:t>8</w:t>
      </w:r>
    </w:p>
    <w:p>
      <w:pPr>
        <w:tabs>
          <w:tab w:pos="9072" w:val="right" w:leader="dot"/>
        </w:tabs>
        <w:spacing w:after="60"/>
        <w:ind w:left="432"/>
      </w:pPr>
      <w:r>
        <w:rPr>
          <w:rFonts w:ascii="Arial" w:hAnsi="Arial"/>
          <w:b w:val="0"/>
          <w:color w:val="333333"/>
          <w:sz w:val="21"/>
        </w:rPr>
        <w:t>Lab 3 — SIPOC, Process Mapping, Handoffs, and SME Support  [Core]</w:t>
        <w:tab/>
        <w:t>9</w:t>
      </w:r>
    </w:p>
    <w:p>
      <w:pPr>
        <w:tabs>
          <w:tab w:pos="9072" w:val="right" w:leader="dot"/>
        </w:tabs>
        <w:spacing w:after="60"/>
        <w:ind w:left="432"/>
      </w:pPr>
      <w:r>
        <w:rPr>
          <w:rFonts w:ascii="Arial" w:hAnsi="Arial"/>
          <w:b w:val="0"/>
          <w:color w:val="333333"/>
          <w:sz w:val="21"/>
        </w:rPr>
        <w:t>Lab 4 — PDCA Small Improvement Project Charter  [Elective]</w:t>
        <w:tab/>
        <w:t>10</w:t>
      </w:r>
    </w:p>
    <w:p>
      <w:pPr>
        <w:tabs>
          <w:tab w:pos="9072" w:val="right" w:leader="dot"/>
        </w:tabs>
        <w:spacing w:after="60"/>
        <w:ind w:left="432"/>
      </w:pPr>
      <w:r>
        <w:rPr>
          <w:rFonts w:ascii="Arial" w:hAnsi="Arial"/>
          <w:b w:val="0"/>
          <w:color w:val="333333"/>
          <w:sz w:val="21"/>
        </w:rPr>
        <w:t>Lab 5 — DMAIC Overview, Problem Statement, Scope, and Stakeholders  [Core]</w:t>
        <w:tab/>
        <w:t>10</w:t>
      </w:r>
    </w:p>
    <w:p>
      <w:pPr>
        <w:tabs>
          <w:tab w:pos="9072" w:val="right" w:leader="dot"/>
        </w:tabs>
        <w:spacing w:after="60"/>
        <w:ind w:left="432"/>
      </w:pPr>
      <w:r>
        <w:rPr>
          <w:rFonts w:ascii="Arial" w:hAnsi="Arial"/>
          <w:b w:val="0"/>
          <w:color w:val="333333"/>
          <w:sz w:val="21"/>
        </w:rPr>
        <w:t>Lab 11 — Affinity Diagram and Kano Analysis  [Elective]</w:t>
        <w:tab/>
        <w:t>11</w:t>
      </w:r>
    </w:p>
    <w:p>
      <w:pPr>
        <w:tabs>
          <w:tab w:pos="9072" w:val="right" w:leader="dot"/>
        </w:tabs>
        <w:spacing w:after="60"/>
      </w:pPr>
      <w:r>
        <w:rPr>
          <w:rFonts w:ascii="Arial" w:hAnsi="Arial"/>
          <w:b/>
          <w:color w:val="333333"/>
          <w:sz w:val="22"/>
        </w:rPr>
        <w:t>MEASURE — Measure — Quantify Performance  (25%)</w:t>
        <w:tab/>
        <w:t>12</w:t>
      </w:r>
    </w:p>
    <w:p>
      <w:pPr>
        <w:tabs>
          <w:tab w:pos="9072" w:val="right" w:leader="dot"/>
        </w:tabs>
        <w:spacing w:after="60"/>
        <w:ind w:left="432"/>
      </w:pPr>
      <w:r>
        <w:rPr>
          <w:rFonts w:ascii="Arial" w:hAnsi="Arial"/>
          <w:b w:val="0"/>
          <w:color w:val="333333"/>
          <w:sz w:val="21"/>
        </w:rPr>
        <w:t>Lab 6 — Data Collection, KPIs, Check Sheets, and Basic Metrics  [Core]</w:t>
        <w:tab/>
        <w:t>12</w:t>
      </w:r>
    </w:p>
    <w:p>
      <w:pPr>
        <w:tabs>
          <w:tab w:pos="9072" w:val="right" w:leader="dot"/>
        </w:tabs>
        <w:spacing w:after="60"/>
        <w:ind w:left="432"/>
      </w:pPr>
      <w:r>
        <w:rPr>
          <w:rFonts w:ascii="Arial" w:hAnsi="Arial"/>
          <w:b w:val="0"/>
          <w:color w:val="333333"/>
          <w:sz w:val="21"/>
        </w:rPr>
        <w:t>Lab 12 — Value Stream Map and Takt Time  [Elective]</w:t>
        <w:tab/>
        <w:t>13</w:t>
      </w:r>
    </w:p>
    <w:p>
      <w:pPr>
        <w:tabs>
          <w:tab w:pos="9072" w:val="right" w:leader="dot"/>
        </w:tabs>
        <w:spacing w:after="60"/>
      </w:pPr>
      <w:r>
        <w:rPr>
          <w:rFonts w:ascii="Arial" w:hAnsi="Arial"/>
          <w:b/>
          <w:color w:val="333333"/>
          <w:sz w:val="22"/>
        </w:rPr>
        <w:t>ANALYZE — Analyze — Find the Root Cause  (20%)</w:t>
        <w:tab/>
        <w:t>14</w:t>
      </w:r>
    </w:p>
    <w:p>
      <w:pPr>
        <w:tabs>
          <w:tab w:pos="9072" w:val="right" w:leader="dot"/>
        </w:tabs>
        <w:spacing w:after="60"/>
        <w:ind w:left="432"/>
      </w:pPr>
      <w:r>
        <w:rPr>
          <w:rFonts w:ascii="Arial" w:hAnsi="Arial"/>
          <w:b w:val="0"/>
          <w:color w:val="333333"/>
          <w:sz w:val="21"/>
        </w:rPr>
        <w:t>Lab 7 — Pareto, Run Charts, Variation, Yield, DPU, and DPMO  [Core]</w:t>
        <w:tab/>
        <w:t>14</w:t>
      </w:r>
    </w:p>
    <w:p>
      <w:pPr>
        <w:tabs>
          <w:tab w:pos="9072" w:val="right" w:leader="dot"/>
        </w:tabs>
        <w:spacing w:after="60"/>
        <w:ind w:left="432"/>
      </w:pPr>
      <w:r>
        <w:rPr>
          <w:rFonts w:ascii="Arial" w:hAnsi="Arial"/>
          <w:b w:val="0"/>
          <w:color w:val="333333"/>
          <w:sz w:val="21"/>
        </w:rPr>
        <w:t>Lab 8 — Root Cause Analysis with 5 Whys, Fishbone, and Evidence  [Core]</w:t>
        <w:tab/>
        <w:t>15</w:t>
      </w:r>
    </w:p>
    <w:p>
      <w:pPr>
        <w:tabs>
          <w:tab w:pos="9072" w:val="right" w:leader="dot"/>
        </w:tabs>
        <w:spacing w:after="60"/>
      </w:pPr>
      <w:r>
        <w:rPr>
          <w:rFonts w:ascii="Arial" w:hAnsi="Arial"/>
          <w:b/>
          <w:color w:val="333333"/>
          <w:sz w:val="22"/>
        </w:rPr>
        <w:t>IMPROVE — Improve — Fix the Cause  (10%)</w:t>
        <w:tab/>
        <w:t>16</w:t>
      </w:r>
    </w:p>
    <w:p>
      <w:pPr>
        <w:tabs>
          <w:tab w:pos="9072" w:val="right" w:leader="dot"/>
        </w:tabs>
        <w:spacing w:after="60"/>
        <w:ind w:left="432"/>
      </w:pPr>
      <w:r>
        <w:rPr>
          <w:rFonts w:ascii="Arial" w:hAnsi="Arial"/>
          <w:b w:val="0"/>
          <w:color w:val="333333"/>
          <w:sz w:val="21"/>
        </w:rPr>
        <w:t>Lab 9 — Countermeasures, 5S, Mistake Proofing, Standard Work, and Kaizen  [Core]</w:t>
        <w:tab/>
        <w:t>16</w:t>
      </w:r>
    </w:p>
    <w:p>
      <w:pPr>
        <w:tabs>
          <w:tab w:pos="9072" w:val="right" w:leader="dot"/>
        </w:tabs>
        <w:spacing w:after="60"/>
        <w:ind w:left="432"/>
      </w:pPr>
      <w:r>
        <w:rPr>
          <w:rFonts w:ascii="Arial" w:hAnsi="Arial"/>
          <w:b w:val="0"/>
          <w:color w:val="333333"/>
          <w:sz w:val="21"/>
        </w:rPr>
        <w:t>Lab 13 — Solution Selection Matrix, Benchmarking, and FMEA  [Elective]</w:t>
        <w:tab/>
        <w:t>17</w:t>
      </w:r>
    </w:p>
    <w:p>
      <w:pPr>
        <w:tabs>
          <w:tab w:pos="9072" w:val="right" w:leader="dot"/>
        </w:tabs>
        <w:spacing w:after="60"/>
      </w:pPr>
      <w:r>
        <w:rPr>
          <w:rFonts w:ascii="Arial" w:hAnsi="Arial"/>
          <w:b/>
          <w:color w:val="333333"/>
          <w:sz w:val="22"/>
        </w:rPr>
        <w:t>CONTROL — Control — Hold the Gain  (5%)</w:t>
        <w:tab/>
        <w:t>17</w:t>
      </w:r>
    </w:p>
    <w:p>
      <w:pPr>
        <w:tabs>
          <w:tab w:pos="9072" w:val="right" w:leader="dot"/>
        </w:tabs>
        <w:spacing w:after="60"/>
        <w:ind w:left="432"/>
      </w:pPr>
      <w:r>
        <w:rPr>
          <w:rFonts w:ascii="Arial" w:hAnsi="Arial"/>
          <w:b w:val="0"/>
          <w:color w:val="333333"/>
          <w:sz w:val="21"/>
        </w:rPr>
        <w:t>Lab 10 — Control Plan, A3 Summary, Handover, and Certification Readiness  [Core]</w:t>
        <w:tab/>
        <w:t>18</w:t>
      </w:r>
    </w:p>
    <w:p>
      <w:pPr>
        <w:tabs>
          <w:tab w:pos="9072" w:val="right" w:leader="dot"/>
        </w:tabs>
        <w:spacing w:after="60"/>
        <w:ind w:left="432"/>
      </w:pPr>
      <w:r>
        <w:rPr>
          <w:rFonts w:ascii="Arial" w:hAnsi="Arial"/>
          <w:b w:val="0"/>
          <w:color w:val="333333"/>
          <w:sz w:val="21"/>
        </w:rPr>
        <w:t>Lab 14 — Descriptive Statistics and Implementation Planning  [Elective]</w:t>
        <w:tab/>
        <w:t>18</w:t>
      </w:r>
    </w:p>
    <w:p>
      <w:pPr>
        <w:tabs>
          <w:tab w:pos="9072" w:val="right" w:leader="dot"/>
        </w:tabs>
        <w:spacing w:after="60"/>
      </w:pPr>
      <w:r>
        <w:rPr>
          <w:rFonts w:ascii="Arial" w:hAnsi="Arial"/>
          <w:b/>
          <w:color w:val="333333"/>
          <w:sz w:val="22"/>
        </w:rPr>
        <w:t>Quick Reference — Formulas You Should Know</w:t>
        <w:tab/>
        <w:t>19</w:t>
      </w:r>
    </w:p>
    <w:p>
      <w:pPr>
        <w:tabs>
          <w:tab w:pos="9072" w:val="right" w:leader="dot"/>
        </w:tabs>
        <w:spacing w:after="60"/>
      </w:pPr>
      <w:r>
        <w:rPr>
          <w:rFonts w:ascii="Arial" w:hAnsi="Arial"/>
          <w:b/>
          <w:color w:val="333333"/>
          <w:sz w:val="22"/>
        </w:rPr>
        <w:t>Quick Reference — The Eight Wastes (DOWNTIME)</w:t>
        <w:tab/>
        <w:t>20</w:t>
      </w:r>
    </w:p>
    <w:p>
      <w:pPr>
        <w:tabs>
          <w:tab w:pos="9072" w:val="right" w:leader="dot"/>
        </w:tabs>
        <w:spacing w:after="60"/>
      </w:pPr>
      <w:r>
        <w:rPr>
          <w:rFonts w:ascii="Arial" w:hAnsi="Arial"/>
          <w:b/>
          <w:color w:val="333333"/>
          <w:sz w:val="22"/>
        </w:rPr>
        <w:t>Preparing for the Assessment</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This Learner Guide accompanies the WSQ course Certified Lean Six Sigma Yellow Belt (CLSSYB) Training (TGS-2025053922),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lab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Lean and Six Sigma concepts, wastes, value and variation.</w:t>
      </w:r>
    </w:p>
    <w:p>
      <w:pPr>
        <w:pStyle w:val="ListBullet"/>
      </w:pPr>
      <w:r>
        <w:t>K2: Quality tools and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Contoso Service Desk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Lab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full worksheet for this lab is in labs/lab-01-*.md.</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Lab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full worksheet for this lab is in labs/lab-02-*.md.</w:t>
      </w:r>
    </w:p>
    <w:p/>
    <w:p>
      <w:pPr>
        <w:pStyle w:val="Heading2"/>
      </w:pPr>
      <w:r>
        <w:t>Lab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full worksheet for this lab is in labs/lab-03-*.md.</w:t>
      </w:r>
    </w:p>
    <w:p/>
    <w:p>
      <w:pPr>
        <w:pStyle w:val="Heading2"/>
      </w:pPr>
      <w:r>
        <w:t>Lab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full worksheet for this lab is in labs/lab-04-*.md.</w:t>
      </w:r>
    </w:p>
    <w:p/>
    <w:p>
      <w:pPr>
        <w:pStyle w:val="Heading2"/>
      </w:pPr>
      <w:r>
        <w:t>Lab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Lab 2.</w:t>
      </w:r>
    </w:p>
    <w:p>
      <w:pPr>
        <w:pStyle w:val="ListNumber"/>
      </w:pPr>
      <w:r>
        <w:t>Confirm which DMAIC phases a Yellow Belt can support most strongly.</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full worksheet for this lab is in labs/lab-05-*.md.</w:t>
      </w:r>
    </w:p>
    <w:p/>
    <w:p>
      <w:pPr>
        <w:pStyle w:val="Heading2"/>
      </w:pPr>
      <w:r>
        <w:t>Lab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full worksheet for this lab is in labs/lab-11-*.md.</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Lab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full worksheet for this lab is in labs/lab-06-*.md.</w:t>
      </w:r>
    </w:p>
    <w:p/>
    <w:p>
      <w:pPr>
        <w:pStyle w:val="Heading2"/>
      </w:pPr>
      <w:r>
        <w:t>Lab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Lab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full worksheet for this lab is in labs/lab-12-*.md.</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Lab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full worksheet for this lab is in labs/lab-07-*.md.</w:t>
      </w:r>
    </w:p>
    <w:p/>
    <w:p>
      <w:pPr>
        <w:pStyle w:val="Heading2"/>
      </w:pPr>
      <w:r>
        <w:t>Lab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Lab 7 data — does the evidence support it?</w:t>
      </w:r>
    </w:p>
    <w:p>
      <w:pPr>
        <w:pStyle w:val="ListNumber"/>
      </w:pPr>
      <w:r>
        <w:t>State why the team must not jump straight to solutions.</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full worksheet for this lab is in labs/lab-08-*.md.</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Lab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full worksheet for this lab is in labs/lab-09-*.md.</w:t>
      </w:r>
    </w:p>
    <w:p/>
    <w:p>
      <w:pPr>
        <w:pStyle w:val="Heading2"/>
      </w:pPr>
      <w:r>
        <w:t>Lab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full worksheet for this lab is in labs/lab-13-*.md.</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ListBullet"/>
      </w:pPr>
      <w:r>
        <w:t>A3 and handover — One-page storytelling to summarise, hand over and sustain the improvement.</w:t>
      </w:r>
    </w:p>
    <w:p>
      <w:pPr>
        <w:pStyle w:val="Heading2"/>
      </w:pPr>
      <w:r>
        <w:t>Lab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full worksheet for this lab is in labs/lab-10-*.md.</w:t>
      </w:r>
    </w:p>
    <w:p/>
    <w:p>
      <w:pPr>
        <w:pStyle w:val="Heading2"/>
      </w:pPr>
      <w:r>
        <w:t>Lab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full worksheet for this lab is in labs/lab-14-*.md.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60 minutes, open book.</w:t>
      </w:r>
    </w:p>
    <w:p>
      <w:pPr>
        <w:pStyle w:val="ListBullet"/>
      </w:pPr>
      <w:r>
        <w:t>Case Study (CS) — applied Lean Six Sigma tasks,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