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20240" cy="19202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tiary-infotech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1920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00"/>
        <w:jc w:val="center"/>
      </w:pPr>
      <w:r>
        <w:rPr>
          <w:b w:val="0"/>
          <w:color w:val="555B66"/>
          <w:sz w:val="20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52"/>
        </w:rPr>
        <w:t>LESSON PLAN</w:t>
      </w:r>
    </w:p>
    <w:p>
      <w:pPr>
        <w:spacing w:before="80" w:after="160"/>
        <w:jc w:val="center"/>
      </w:pPr>
      <w:r>
        <w:rPr>
          <w:b w:val="0"/>
          <w:color w:val="555B66"/>
          <w:sz w:val="24"/>
        </w:rPr>
        <w:t>For</w:t>
      </w:r>
    </w:p>
    <w:p>
      <w:pPr>
        <w:spacing w:before="80" w:after="40"/>
        <w:jc w:val="center"/>
      </w:pPr>
      <w:r>
        <w:rPr>
          <w:b/>
          <w:color w:val="111827"/>
          <w:sz w:val="40"/>
        </w:rPr>
        <w:t>Certified Lean Six Sigma Yellow Belt (CLSSYB) Training</w:t>
      </w:r>
    </w:p>
    <w:p>
      <w:pPr>
        <w:spacing w:before="80" w:after="280"/>
        <w:jc w:val="center"/>
      </w:pPr>
      <w:r>
        <w:rPr>
          <w:b w:val="0"/>
          <w:color w:val="111827"/>
          <w:sz w:val="24"/>
        </w:rPr>
        <w:t>TGS Ref No: TGS-2025053922</w:t>
      </w:r>
    </w:p>
    <w:p>
      <w:pPr>
        <w:spacing w:before="0" w:after="40"/>
        <w:jc w:val="center"/>
      </w:pPr>
      <w:r>
        <w:rPr>
          <w:b w:val="0"/>
          <w:color w:val="555B66"/>
          <w:sz w:val="22"/>
        </w:rPr>
        <w:t>Conducted by</w:t>
      </w:r>
    </w:p>
    <w:p>
      <w:pPr>
        <w:spacing w:before="0" w:after="4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40"/>
        <w:jc w:val="center"/>
      </w:pPr>
      <w:r>
        <w:rPr>
          <w:b w:val="0"/>
          <w:color w:val="555B66"/>
          <w:sz w:val="22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24"/>
        </w:rPr>
        <w:t>Version 7</w:t>
      </w:r>
    </w:p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DOCUMENT VERSION CONTROL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Version Number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Effective Date of Release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Summary of Included Changes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Author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 June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Initial release — CLSSYB 2-day lesson plan aligned to the 10 hands-on labs.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15 June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Refreshed labs against the CSSC Yellow Belt reference.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 July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Aligned the schedule with the Contoso Service Desk case-study assessment.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20 July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Major content expansion: course restructured to follow the DMAIC roadmap end to end; Lean Six Sigma concepts imported from the reference trainer deck and the CSSC body of knowledge and explained visually; 4 elective labs added (Affinity/Kano, VSM/Takt, Solution Matrix/Benchmarking/FMEA, Descriptive Statistics/Implementation Plan) and Lab 4 (PDCA charter) reclassified as elective, giving 9 core and 5 elective labs; interactive problem-solving tools (5 Whys, Fishbone, collaborative Pareto, NovaSPC) integrated into the Analyze labs; slide references added to the schedule.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20 July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Integrated the SIPOC &amp; Process Map Builder (alfredang.github.io/sipoc/) into Lab 3 and elective Lab 12, with a tool walkthrough added to the Define phase and the online toolkit slide updated to list all five tools.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20 July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Fixed clipped headings: slide titles now auto-fit to a single line so long lab titles can no longer overprint the LAB/ELECTIVE chips beneath them.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7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20 July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Table of contents restored to a live, updatable Word field (previously flattened to static text), so it refreshes on open or F9 while still rendering correctly in the distributed PDF.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</w:tbl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TABLE OF CONTENTS</w:t>
      </w:r>
    </w:p>
    <w:p>
      <w:pPr>
        <w:tabs>
          <w:tab w:pos="9072" w:val="right" w:leader="dot"/>
        </w:tabs>
        <w:spacing w:after="60"/>
      </w:pPr>
      <w:r>
        <w:fldChar w:fldCharType="begin"/>
        <w:instrText xml:space="preserve">TOC \o "1-3" \h \z \u</w:instrText>
        <w:fldChar w:fldCharType="separate"/>
        <w:t xml:space="preserve">Course Information	5</w:t>
        <w:fldChar w:fldCharType="end"/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Learning Outcomes</w:t>
        <w:tab/>
        <w:t>5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Assessment</w:t>
        <w:tab/>
        <w:t>5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Course Schedule</w:t>
        <w:tab/>
        <w:t>5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Day 1 — Six Sigma foundations, Define phase and process mapping</w:t>
        <w:tab/>
        <w:t>5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Day 2 — Measure, Analyse, Improve, Control and assessment</w:t>
        <w:tab/>
        <w:t>6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Lab Reference (aligned to the DMAIC phases)</w:t>
        <w:tab/>
        <w:t>8</w:t>
      </w:r>
    </w:p>
    <w:p>
      <w:r>
        <w:br w:type="page"/>
      </w:r>
    </w:p>
    <w:p>
      <w:pPr>
        <w:pStyle w:val="Heading1"/>
      </w:pPr>
      <w:r>
        <w:t>Course Information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Course Title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Certified Lean Six Sigma Yellow Belt (CLSSYB) Training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WSQ Course Reference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TGS-2025053922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Training Provider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Tertiary Infotech Academy Pte Ltd  (UEN 201200696W)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Duration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2 days · 8 training hours per day (16 hours)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Daily Timing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9:30 am – 6:30 pm (1-hour lunch; tea breaks within training time)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Mode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Instructor-led, hands-on Lean Six Sigma labs using the Contoso Service Desk improvement scenario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TSC Alignment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Quality Process Control (ELE-QUA-5006-1.1)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Trainer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Dr. Alfred Ang</w:t>
            </w:r>
          </w:p>
        </w:tc>
      </w:tr>
    </w:tbl>
    <w:p>
      <w:pPr>
        <w:pStyle w:val="Heading1"/>
      </w:pPr>
      <w:r>
        <w:t>Learning Outcomes</w:t>
      </w:r>
    </w:p>
    <w:p>
      <w:r>
        <w:t>On completion of this course, learners will be able to:</w:t>
      </w:r>
    </w:p>
    <w:p>
      <w:pPr>
        <w:pStyle w:val="ListBullet"/>
      </w:pPr>
      <w:r>
        <w:rPr>
          <w:sz w:val="21"/>
        </w:rPr>
        <w:t>LO1: Define a project and establish the scope of work using Six Sigma's Define, Measure and Analyse phases.</w:t>
      </w:r>
    </w:p>
    <w:p>
      <w:pPr>
        <w:pStyle w:val="ListBullet"/>
      </w:pPr>
      <w:r>
        <w:rPr>
          <w:sz w:val="21"/>
        </w:rPr>
        <w:t>LO2: Apply Lean and Six Sigma concepts — value, waste, defects and variation — to a work process.</w:t>
      </w:r>
    </w:p>
    <w:p>
      <w:pPr>
        <w:pStyle w:val="ListBullet"/>
      </w:pPr>
      <w:r>
        <w:rPr>
          <w:sz w:val="21"/>
        </w:rPr>
        <w:t>LO3: Map a process using SIPOC, process maps and value stream maps to expose handoffs and waste.</w:t>
      </w:r>
    </w:p>
    <w:p>
      <w:pPr>
        <w:pStyle w:val="ListBullet"/>
      </w:pPr>
      <w:r>
        <w:rPr>
          <w:sz w:val="21"/>
        </w:rPr>
        <w:t>LO4: Collect and analyse process data using check sheets, Pareto charts, run charts and basic metrics.</w:t>
      </w:r>
    </w:p>
    <w:p>
      <w:pPr>
        <w:pStyle w:val="ListBullet"/>
      </w:pPr>
      <w:r>
        <w:rPr>
          <w:sz w:val="21"/>
        </w:rPr>
        <w:t>LO5: Identify root causes using 5 Whys, Fishbone analysis and evidence-based prioritisation.</w:t>
      </w:r>
    </w:p>
    <w:p>
      <w:pPr>
        <w:pStyle w:val="ListBullet"/>
      </w:pPr>
      <w:r>
        <w:rPr>
          <w:sz w:val="21"/>
        </w:rPr>
        <w:t>LO6: Recommend improvement and control actions to sustain gains, and prepare for certification.</w:t>
      </w:r>
    </w:p>
    <w:p>
      <w:pPr>
        <w:pStyle w:val="Heading1"/>
      </w:pPr>
      <w:r>
        <w:t>Assessment</w:t>
      </w:r>
    </w:p>
    <w:p>
      <w:pPr>
        <w:pStyle w:val="ListBullet"/>
      </w:pPr>
      <w:r>
        <w:rPr>
          <w:sz w:val="21"/>
        </w:rPr>
        <w:t>Written Assessment (WA) — Short-Answer Questions (SAQ), 60 minutes, open book.</w:t>
      </w:r>
    </w:p>
    <w:p>
      <w:pPr>
        <w:pStyle w:val="ListBullet"/>
      </w:pPr>
      <w:r>
        <w:rPr>
          <w:sz w:val="21"/>
        </w:rPr>
        <w:t>Case Study (CS) — applied Lean Six Sigma tasks, 90 minutes, open book.</w:t>
      </w:r>
    </w:p>
    <w:p>
      <w:pPr>
        <w:pStyle w:val="ListBullet"/>
      </w:pPr>
      <w:r>
        <w:rPr>
          <w:sz w:val="21"/>
        </w:rPr>
        <w:t>Format: Open Book — course slides, Learner Guide and approved materials only.</w:t>
      </w:r>
    </w:p>
    <w:p>
      <w:pPr>
        <w:pStyle w:val="ListBullet"/>
      </w:pPr>
      <w:r>
        <w:rPr>
          <w:sz w:val="21"/>
        </w:rPr>
        <w:t>Final assessment is conducted on Day 2 from 4:00 pm.</w:t>
      </w:r>
    </w:p>
    <w:p>
      <w:pPr>
        <w:pStyle w:val="ListBullet"/>
      </w:pPr>
      <w:r>
        <w:rPr>
          <w:sz w:val="21"/>
        </w:rPr>
        <w:t>A minimum of 75% attendance is required to be eligible for assessment and funding.</w:t>
      </w:r>
    </w:p>
    <w:p>
      <w:pPr>
        <w:pStyle w:val="Heading1"/>
      </w:pPr>
      <w:r>
        <w:t>Course Schedule</w:t>
      </w:r>
    </w:p>
    <w:p>
      <w:pPr>
        <w:pStyle w:val="Heading2"/>
      </w:pPr>
      <w:r>
        <w:t>Day 1 — Six Sigma foundations, Define phase and process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65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Time</w:t>
            </w:r>
          </w:p>
        </w:tc>
        <w:tc>
          <w:tcPr>
            <w:tcW w:type="dxa" w:w="129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684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 / Activity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9:30–10:00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Welcome, course introduction, ground rules and mandatory digital attendance (AM)  [slides 2–15]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10:00–11:15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75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FOUNDATIONS — What is Quality; What is Lean; What is Six Sigma; Lean vs Six Sigma vs Lean Six Sigma; sigma levels and DPMO; Y = f(X); belt roles; the DMAIC roadmap; DMAIC vs PDCA  [slides 16–37]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11:15–11:30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 (within training time)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11:30–12:30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1: Yellow Belt Role, Certification Paths, and Improvement Scenario  [slides 38–44]</w:t>
            </w:r>
          </w:p>
        </w:tc>
      </w:tr>
      <w:tr>
        <w:tc>
          <w:tcPr>
            <w:tcW w:type="dxa" w:w="165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12:30–13:30</w:t>
            </w:r>
          </w:p>
        </w:tc>
        <w:tc>
          <w:tcPr>
            <w:tcW w:type="dxa" w:w="129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Lunch break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13:30–15:00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90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DMAIC · DEFINE — Voice of the Customer; VOC to CTQ translation; the project charter; problem and goal statements; scope; SIPOC; process mapping levels and symbols  [slides 45–64]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15:00–15:15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 (within training time)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15:15–18:00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165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 (core): Lab 2: Lean, Six Sigma, Waste, Voice of Customer, and Value; Lab 3: SIPOC, Process Mapping, Handoffs, and SME Support; Lab 5: DMAIC Overview, Problem Statement, Scope, and Stakeholders. Elective (time permitting): Lab 4: Elective — PDCA Small Improvement Project Charter; Lab 11: Elective — Affinity Diagram and Kano Analysis  [slides 65–103]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18:00–18:30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Day 1 recap, Q&amp;A and PM digital attendance</w:t>
            </w:r>
          </w:p>
        </w:tc>
      </w:tr>
    </w:tbl>
    <w:p>
      <w:r>
        <w:rPr>
          <w:i/>
          <w:color w:val="555B66"/>
          <w:sz w:val="19"/>
        </w:rPr>
        <w:t>Total training time: 480 minutes (8 hours) — includes tea breaks, excludes the 1-hour lunch.</w:t>
      </w:r>
    </w:p>
    <w:p>
      <w:pPr>
        <w:pStyle w:val="Heading2"/>
      </w:pPr>
      <w:r>
        <w:t>Day 2 — Measure, Analyse, Improve, Control and assessment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65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Time</w:t>
            </w:r>
          </w:p>
        </w:tc>
        <w:tc>
          <w:tcPr>
            <w:tcW w:type="dxa" w:w="129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684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 / Activity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9:30–9:45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Day 1 recap and mandatory digital attendance (AM)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9:45–11:00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75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DMAIC · MEASURE — the eight wastes (DOWNTIME); value-added analysis; types of data; data collection plans and operational definitions; check sheets; sampling; yield, DPU, DPO, DPMO; sigma level; COPQ  [slides 104–124]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11:00–11:15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 (within training time)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11:15–12:30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75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 (core): Lab 6: Data Collection, KPIs, Check Sheets, and Basic Metrics. Elective (time permitting): Lab 12: Elective — Value Stream Map and Takt Time  [slides 125–139]</w:t>
            </w:r>
          </w:p>
        </w:tc>
      </w:tr>
      <w:tr>
        <w:tc>
          <w:tcPr>
            <w:tcW w:type="dxa" w:w="165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12:30–13:30</w:t>
            </w:r>
          </w:p>
        </w:tc>
        <w:tc>
          <w:tcPr>
            <w:tcW w:type="dxa" w:w="129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Lunch break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13:30–14:15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45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DMAIC · ANALYZE — common vs special cause variation; Pareto principle and charts; run charts and pattern rules; 5 Whys; Fishbone (5M); brainstorming and multi-voting; the interactive problem-solving toolkit  [slides 140–161]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14:15–15:00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45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 (core): Lab 7: Pareto, Run Charts, Variation, Yield, DPU, and DPMO; Lab 8: Root Cause Analysis with 5 Whys, Fishbone, and Evidence using the collaborative Pareto, 5 Whys, Fishbone and NovaSPC tools  [slides 162–181]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15:00–15:15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 (within training time)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15:15–15:30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DMAIC · IMPROVE — solution generation and selection; 5S; poka-yoke; standard work; Kaizen; piloting  [slides 182–196]. Hands-on (core): Lab 9: Countermeasures, 5S, Mistake Proofing, Standard Work, and Kaizen. Elective: Lab 13: Elective — Solution Selection Matrix, Benchmarking, and FMEA  [slides 197–213]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15:30–15:45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DMAIC · CONTROL — control plans; process control; visual management; SOPs; team huddles; Gemba; A3 and handover  [slides 214–228]. Hands-on (core): Lab 10: Control Plan, A3 Summary, Handover, and Certification Readiness. Elective: Lab 14: Elective — Descriptive Statistics and Implementation Planning  [slides 229–243]</w:t>
            </w:r>
          </w:p>
        </w:tc>
      </w:tr>
      <w:tr>
        <w:tc>
          <w:tcPr>
            <w:tcW w:type="dxa" w:w="1656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15:45–16:00</w:t>
            </w:r>
          </w:p>
        </w:tc>
        <w:tc>
          <w:tcPr>
            <w:tcW w:type="dxa" w:w="1296"/>
            <w:shd w:val="clear" w:color="auto" w:fill="E8F7EE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Course recap and Briefing for Assessment  [slides 244–254]</w:t>
            </w:r>
          </w:p>
        </w:tc>
      </w:tr>
      <w:tr>
        <w:tc>
          <w:tcPr>
            <w:tcW w:type="dxa" w:w="1656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16:00–17:00</w:t>
            </w:r>
          </w:p>
        </w:tc>
        <w:tc>
          <w:tcPr>
            <w:tcW w:type="dxa" w:w="1296"/>
            <w:shd w:val="clear" w:color="auto" w:fill="E8F7EE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Written Assessment (WA) — Short-Answer Questions (SAQ), 60 minutes, open book</w:t>
            </w:r>
          </w:p>
        </w:tc>
      </w:tr>
      <w:tr>
        <w:tc>
          <w:tcPr>
            <w:tcW w:type="dxa" w:w="1656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17:00–18:30</w:t>
            </w:r>
          </w:p>
        </w:tc>
        <w:tc>
          <w:tcPr>
            <w:tcW w:type="dxa" w:w="1296"/>
            <w:shd w:val="clear" w:color="auto" w:fill="E8F7EE"/>
          </w:tcPr>
          <w:p>
            <w:r/>
            <w:r>
              <w:rPr>
                <w:rFonts w:ascii="Arial" w:hAnsi="Arial"/>
                <w:b w:val="0"/>
                <w:sz w:val="19"/>
              </w:rPr>
              <w:t>90 min</w:t>
            </w:r>
          </w:p>
        </w:tc>
        <w:tc>
          <w:tcPr>
            <w:tcW w:type="dxa" w:w="6840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Case Study (CS) — applied Lean Six Sigma tasks, 90 minutes, open book. PM digital attendance</w:t>
            </w:r>
          </w:p>
        </w:tc>
      </w:tr>
    </w:tbl>
    <w:p>
      <w:r>
        <w:rPr>
          <w:i/>
          <w:color w:val="555B66"/>
          <w:sz w:val="19"/>
        </w:rPr>
        <w:t>Total training time: 480 minutes (8 hours) — includes tea breaks, excludes the 1-hour lunch.</w:t>
      </w:r>
    </w:p>
    <w:p>
      <w:pPr>
        <w:pStyle w:val="Heading1"/>
      </w:pPr>
      <w:r>
        <w:t>Lab Reference (aligned to the DMAIC phases)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DMAIC phase / Topic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Weighting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Labs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FOUNDATIONS: Six Sigma Foundations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15%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1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DEFINE: Define — Scope the Problem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25%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2, Lab 3, Lab 4 (elective), Lab 5, Lab 11 (elective)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MEASURE: Measure — Quantify Performance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25%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6, Lab 12 (elective)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ANALYZE: Analyze — Find the Root Cause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20%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7, Lab 8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IMPROVE: Improve — Fix the Cause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10%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9, Lab 13 (elective)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CONTROL: Control — Hold the Gain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5%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10, Lab 14 (elective)</w:t>
            </w:r>
          </w:p>
        </w:tc>
      </w:tr>
    </w:tbl>
    <w:sectPr w:rsidR="00FC693F" w:rsidRPr="0006063C" w:rsidSect="00034616"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55B66"/>
        <w:sz w:val="18"/>
      </w:rPr>
      <w:t xml:space="preserve">Page </w:t>
    </w:r>
    <w:r>
      <w:rPr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color w:val="555B66"/>
        <w:sz w:val="18"/>
      </w:rPr>
      <w:t xml:space="preserve"> of </w:t>
    </w:r>
    <w:r>
      <w:rPr>
        <w:sz w:val="18"/>
      </w:rPr>
      <w:fldChar w:fldCharType="begin"/>
      <w:instrText xml:space="preserve">NUMPAGES</w:instrText>
      <w:fldChar w:fldCharType="separate"/>
      <w:t>1</w:t>
      <w:fldChar w:fldCharType="end"/>
    </w:r>
  </w:p>
  <w:p>
    <w:pPr>
      <w:jc w:val="center"/>
    </w:pPr>
    <w:r>
      <w:rPr>
        <w:color w:val="555B66"/>
        <w:sz w:val="15"/>
      </w:rPr>
      <w:t>© 2026 Tertiary Infotech Academy Pte Ltd. All rights reserved.  ·  www.tertiarycourses.com.sg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6F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F6FEB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11827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