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hAnsi="Calibri"/>
          <w:b/>
          <w:color w:val="161B26"/>
          <w:sz w:val="24"/>
        </w:rPr>
        <w:t>Tertiary Infotech Academy Pte Ltd</w:t>
      </w:r>
    </w:p>
    <w:p>
      <w:pPr>
        <w:spacing w:after="360"/>
        <w:jc w:val="center"/>
      </w:pPr>
      <w:r>
        <w:rPr>
          <w:rFonts w:ascii="Calibri" w:hAnsi="Calibri"/>
          <w:b w:val="0"/>
          <w:color w:val="5B6372"/>
          <w:sz w:val="20"/>
        </w:rPr>
        <w:t>UEN: 201200696W</w:t>
      </w:r>
    </w:p>
    <w:p>
      <w:pPr>
        <w:spacing w:after="160"/>
        <w:jc w:val="center"/>
      </w:pPr>
      <w:r>
        <w:rPr>
          <w:rFonts w:ascii="Calibri" w:hAnsi="Calibri"/>
          <w:b/>
          <w:color w:val="1F6FEB"/>
          <w:sz w:val="44"/>
        </w:rPr>
        <w:t>LESSON PLAN</w:t>
      </w:r>
    </w:p>
    <w:p>
      <w:pPr>
        <w:spacing w:after="160"/>
        <w:jc w:val="center"/>
      </w:pPr>
      <w:r>
        <w:rPr>
          <w:rFonts w:ascii="Calibri" w:hAnsi="Calibri"/>
          <w:b w:val="0"/>
          <w:color w:val="5B6372"/>
          <w:sz w:val="22"/>
        </w:rPr>
        <w:t>For</w:t>
      </w:r>
    </w:p>
    <w:p>
      <w:pPr>
        <w:spacing w:after="280"/>
        <w:jc w:val="center"/>
      </w:pPr>
      <w:r>
        <w:rPr>
          <w:rFonts w:ascii="Calibri" w:hAnsi="Calibri"/>
          <w:b/>
          <w:color w:val="0B1220"/>
          <w:sz w:val="44"/>
        </w:rPr>
        <w:t>Certified Lean Six Sigma Yellow Belt (CLSSYB) Training</w:t>
      </w:r>
    </w:p>
    <w:p>
      <w:pPr>
        <w:spacing w:after="400"/>
        <w:jc w:val="center"/>
      </w:pPr>
      <w:r>
        <w:rPr>
          <w:rFonts w:ascii="Calibri" w:hAnsi="Calibri"/>
          <w:b w:val="0"/>
          <w:color w:val="5B6372"/>
          <w:sz w:val="22"/>
        </w:rPr>
        <w:t>TGS Ref No: TGS-2025053922</w:t>
      </w:r>
    </w:p>
    <w:p>
      <w:pPr>
        <w:spacing w:after="80"/>
        <w:jc w:val="center"/>
      </w:pPr>
      <w:r>
        <w:rPr>
          <w:rFonts w:ascii="Calibri" w:hAnsi="Calibri"/>
          <w:b w:val="0"/>
          <w:color w:val="5B6372"/>
          <w:sz w:val="21"/>
        </w:rPr>
        <w:t>Conducted by</w:t>
      </w:r>
    </w:p>
    <w:p>
      <w:pPr>
        <w:spacing w:after="40"/>
        <w:jc w:val="center"/>
      </w:pPr>
      <w:r>
        <w:rPr>
          <w:rFonts w:ascii="Calibri" w:hAnsi="Calibri"/>
          <w:b/>
          <w:color w:val="161B26"/>
          <w:sz w:val="24"/>
        </w:rPr>
        <w:t>Tertiary Infotech Academy Pte Ltd</w:t>
      </w:r>
    </w:p>
    <w:p>
      <w:pPr>
        <w:spacing w:after="280"/>
        <w:jc w:val="center"/>
      </w:pPr>
      <w:r>
        <w:rPr>
          <w:rFonts w:ascii="Calibri" w:hAnsi="Calibri"/>
          <w:b w:val="0"/>
          <w:color w:val="5B6372"/>
          <w:sz w:val="20"/>
        </w:rPr>
        <w:t>UEN: 201200696W</w:t>
      </w:r>
    </w:p>
    <w:p>
      <w:pPr>
        <w:spacing w:after="160"/>
        <w:jc w:val="center"/>
      </w:pPr>
      <w:r>
        <w:rPr>
          <w:rFonts w:ascii="Calibri" w:hAnsi="Calibri"/>
          <w:b w:val="0"/>
          <w:color w:val="5B6372"/>
          <w:sz w:val="21"/>
        </w:rPr>
        <w:t>Version 3.0</w:t>
      </w:r>
    </w:p>
    <w:p>
      <w:r>
        <w:br w:type="page"/>
      </w:r>
    </w:p>
    <w:p>
      <w:r>
        <w:rPr>
          <w:rFonts w:ascii="Calibri" w:hAnsi="Calibri"/>
          <w:b/>
          <w:color w:val="0B1220"/>
          <w:sz w:val="26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Initial CLSSYB courseware aligned to the TGS-2025053922 lab 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Updated slide visuals and admin pages to match Tertiary courseware examples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Enhanced LP/LG formatting and added CLSSYB visual learning aids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color w:val="0B1220"/>
          <w:sz w:val="28"/>
        </w:rPr>
        <w:t>TABLE OF 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1F6FEB"/>
                <w:sz w:val="21"/>
              </w:rPr>
              <w:t>Update table of contents</w:t>
            </w:r>
          </w:p>
          <w:p>
            <w:r>
              <w:rPr>
                <w:rFonts w:ascii="Arial" w:hAnsi="Arial"/>
                <w:color w:val="161B26"/>
                <w:sz w:val="20"/>
              </w:rPr>
              <w:t>Right-click and choose Update Field, or press F9, to build the table of contents.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Certified Lean Six Sigma Yellow Belt (CLSSYB) Training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TGS-2025053922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Duration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 days, 16 training hours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Daily Schedule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9:00 AM - 6:00 PM (8 training hours/day, excluding lunch)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Lunch Break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1:00 PM - 2:00 PM (1 hour)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Delivery Mode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Instructor-led training with hands-on labs and facilitated review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Assessment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Final assessment on Day 2 from 4:00 PM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Courseware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Certified Lean Six Sigma Yellow Belt (CLSSYB) Training-v3.pptx; LG-Certified Lean Six Sigma Yellow Belt (CLSSYB) Training.docx; lab Markdown files</w:t>
            </w:r>
          </w:p>
        </w:tc>
      </w:tr>
    </w:tbl>
    <w:p>
      <w:pPr>
        <w:spacing w:after="40"/>
      </w:pPr>
    </w:p>
    <w:p>
      <w:pPr>
        <w:pStyle w:val="Heading1"/>
      </w:pPr>
      <w:r>
        <w:t>Course Overview</w:t>
      </w:r>
    </w:p>
    <w:p>
      <w:pPr>
        <w:spacing w:after="120" w:line="276" w:lineRule="auto"/>
      </w:pPr>
      <w:r>
        <w:rPr>
          <w:rFonts w:ascii="Arial" w:hAnsi="Arial"/>
        </w:rPr>
        <w:t>This 2-day course prepares learners to support Lean Six Sigma Yellow Belt improvement work. Using a Contoso Service Desk case study, learners build a practical improvement package covering customer value, waste, SIPOC, PDCA, DMAIC Define, measurement, analysis, root cause, countermeasures, control planning, A3 handover and certification readiness.</w:t>
      </w:r>
    </w:p>
    <w:p>
      <w:pPr>
        <w:pStyle w:val="Heading1"/>
      </w:pPr>
      <w:r>
        <w:t>Learning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Learner will be able to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LO1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Explain the Yellow Belt role and certification readiness expectations.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LO2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Translate voice of customer into CTQ requirements and identify waste.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LO3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Build SIPOC and process maps that expose handoffs and delay points.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LO4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Use PDCA and DMAIC Define tools to frame a small improvement project.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LO5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Plan data collection with KPIs, check sheets and basic metrics.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LO6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Use Pareto, run charts, variation, yield, DPU and DPMO for basic analysis.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LO7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Support root cause analysis and select evidence-based countermeasures.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LO8</w:t>
            </w:r>
          </w:p>
        </w:tc>
        <w:tc>
          <w:tcPr>
            <w:tcW w:type="dxa" w:w="8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Prepare control plan, A3 handover and certification readiness outputs.</w:t>
            </w:r>
          </w:p>
        </w:tc>
      </w:tr>
    </w:tbl>
    <w:p>
      <w:pPr>
        <w:spacing w:after="40"/>
      </w:pPr>
    </w:p>
    <w:p>
      <w:pPr>
        <w:pStyle w:val="Heading1"/>
      </w:pPr>
      <w:r>
        <w:t>Detailed Lesson Plan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1F6FEB"/>
                <w:sz w:val="21"/>
              </w:rPr>
              <w:t>Day 1 focus</w:t>
            </w:r>
          </w:p>
          <w:p>
            <w:r>
              <w:rPr>
                <w:rFonts w:ascii="Arial" w:hAnsi="Arial"/>
                <w:color w:val="161B26"/>
                <w:sz w:val="20"/>
              </w:rPr>
              <w:t>Build the Yellow Belt improvement package from role clarity through countermeasure selection.</w:t>
            </w:r>
          </w:p>
        </w:tc>
      </w:tr>
    </w:tbl>
    <w:p>
      <w:pPr>
        <w:spacing w:after="40"/>
      </w:pPr>
    </w:p>
    <w:p>
      <w:pPr>
        <w:pStyle w:val="Heading3"/>
      </w:pPr>
      <w:r>
        <w:t>Morning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09:00-09:15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Welcome, admin briefing, digital attendance and course outcomes (Slides 1-14)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09:15-09:45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Yellow Belt role, certification paths and improvement scenario (Slides 15-18; Lab 1)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09:45-10:30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Lean, Six Sigma, waste, VOC, CTQ, value and defects (Slides 19-22; Lab 2)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10:30-10:45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10:45-11:30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SIPOC, process mapping, handoffs and SME support (Slides 23-26; Lab 3)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11:30-12:15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PDCA small improvement charter (Slides 27-30; Lab 4)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12:15-13:00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DMAIC Define, problem statement, scope and stakeholders (Slides 31-34; Lab 5)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45 min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13:00-14:00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</w:tbl>
    <w:p>
      <w:pPr>
        <w:spacing w:after="40"/>
      </w:pPr>
    </w:p>
    <w:p>
      <w:pPr>
        <w:pStyle w:val="Heading3"/>
      </w:pPr>
      <w:r>
        <w:t>Afternoon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14:00-14:45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Data collection, KPIs, check sheets and basic metrics (Slides 35-38; Lab 6)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14:45-15:45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Pareto, run charts, variation, yield, DPU and DPMO (Slides 39-42; Lab 7)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15:45-16:00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16:00-17:00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Root cause analysis with 5 Whys, fishbone and evidence (Slides 43-46; Lab 8)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17:00-18:00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Countermeasures, 5S, mistake proofing, standard work and kaizen (Slides 47-50; Lab 9)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</w:tbl>
    <w:p>
      <w:pPr>
        <w:spacing w:after="40"/>
      </w:pPr>
    </w:p>
    <w:p>
      <w:pPr>
        <w:pStyle w:val="Heading2"/>
      </w:pPr>
      <w:r>
        <w:t>Day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10B981"/>
                <w:sz w:val="21"/>
              </w:rPr>
              <w:t>Day 2 focus</w:t>
            </w:r>
          </w:p>
          <w:p>
            <w:r>
              <w:rPr>
                <w:rFonts w:ascii="Arial" w:hAnsi="Arial"/>
                <w:color w:val="161B26"/>
                <w:sz w:val="20"/>
              </w:rPr>
              <w:t>Complete control planning, review the integrated package and prepare for final assessment.</w:t>
            </w:r>
          </w:p>
        </w:tc>
      </w:tr>
    </w:tbl>
    <w:p>
      <w:pPr>
        <w:spacing w:after="40"/>
      </w:pPr>
    </w:p>
    <w:p>
      <w:pPr>
        <w:pStyle w:val="Heading3"/>
      </w:pPr>
      <w:r>
        <w:t>Morning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09:00-09:15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Day 1 recap and digital attendance (Slides 1-14 recap references)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09:15-10:15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Control plan, A3 summary, handover and certification readiness (Slides 51-54; Lab 10)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10:15-10:30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10:30-11:30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Integrated improvement package completion (Slides 55-56; Labs 1-10)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11:30-12:30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Trainer review of lab deliverables and coaching (LG and lab files)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12:30-13:00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Knowledge check and assessment preparation (Slides 55-56)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13:00-14:00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</w:tbl>
    <w:p>
      <w:pPr>
        <w:spacing w:after="40"/>
      </w:pPr>
    </w:p>
    <w:p>
      <w:pPr>
        <w:pStyle w:val="Heading3"/>
      </w:pPr>
      <w:r>
        <w:t>Afternoon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14:00-15:00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Mock review: VOC to control plan traceability (Slides 15-54)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15:00-16:00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Final Q&amp;A and readiness checklist (Slides 55-56; Lab 10)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16:00-17:15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Final assessment on LMS (Slides 11-13)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75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17:15-17:30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17:30-18:00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TRAQOM survey, certificate steps and closing (Slide 9)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p>
      <w:pPr>
        <w:pStyle w:val="Heading1"/>
      </w:pPr>
      <w:r>
        <w:t>Lab Alignment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Lab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 Numbers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Learner Guide Section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Deliverable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15-18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1: Yellow Belt Role, Certification Paths, and Improvement Scenario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role table, certification path comparison, selected scenario, and readiness checklist.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19-22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2: Lean, Six Sigma, Waste, Voice of Customer, and Value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VOC table, value-added table, waste walk table, and defect/variation notes.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23-26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3: SIPOC, Process Mapping, Handoffs, and Yellow Belt SME Support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SIPOC, detailed process map, pain point notes, and SME notes.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27-30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4: PDCA Small Improvement Project Charter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PDCA table, problem statement, goal statement, scope, risk table, and test plan.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31-34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5: DMAIC Overview, Problem Statement, Scope, and Stakeholders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DMAIC summary, refined problem statement, stakeholder table, project boundaries, and benefit notes.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35-38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6: Data Collection, KPIs, Check Sheets, and Basic Metrics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KPI table, check sheet, defect categories, sampling plan, and basic metric calculations.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39-42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7: Pareto, Run Charts, Variation, Yield, DPU, and DPMO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Pareto table, chart screenshot or notes, run chart, metric calculations, and interpretation notes.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43-46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8: Root Cause Analysis with 5 Whys, Fishbone, and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problem statement, 5 Whys table, fishbone diagram, cause priority table, and validation plan.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47-50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9: Countermeasures, 5S, Mistake Proofing, Standard Work, and Kaizen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countermeasure table, priority scoring, 5S table, mistake-proofing design, and standard work checklist.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51-54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10: Control Plan, A3 Summary, Handover, and Certification Readiness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Submit control plan, visual management notes, A3 summary, handover checklist, and certification readiness plan.</w:t>
            </w:r>
          </w:p>
        </w:tc>
      </w:tr>
    </w:tbl>
    <w:p>
      <w:pPr>
        <w:spacing w:after="40"/>
      </w:pPr>
    </w:p>
    <w:p>
      <w:pPr>
        <w:pStyle w:val="Heading1"/>
      </w:pPr>
      <w:r>
        <w:t>Tools, Templates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Resource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Learner Guide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Step-by-step completion of every CLSSYB lab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Markdown files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Canonical lab instructions and deliverable requirements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Course slides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Concept review, admin pages and assessment reminders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Google Classroom / LMS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Practice questions, final assessment and submissions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Completed improvement package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Evidence for trainer review and certification readiness</w:t>
            </w:r>
          </w:p>
        </w:tc>
      </w:tr>
    </w:tbl>
    <w:p>
      <w:pPr>
        <w:spacing w:after="40"/>
      </w:pPr>
    </w:p>
    <w:p>
      <w:pPr>
        <w:pStyle w:val="Heading1"/>
      </w:pPr>
      <w: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9E0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Assessment Item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9E0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Attendance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Minimum 75% attendance across required sessions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 work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Complete and submit the Yellow Belt improvement package outputs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Final assessment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Day 2, 4:00 PM, on the LMS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Review materials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Slides, Learner Guide and completed lab deliverables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372"/>
        <w:sz w:val="16"/>
      </w:rPr>
      <w:t>Certified Lean Six Sigma Yellow Belt (CLSSYB) Training  |  TGS-2025053922  |  (c) 2026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2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