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Yellow Belt (CLSSYB) Training  ·  TGS-2025053922</w:t>
            </w:r>
          </w:p>
        </w:tc>
      </w:tr>
    </w:tbl>
    <w:p>
      <w:r>
        <w:rPr>
          <w:b/>
          <w:color w:val="1F6FEB"/>
          <w:sz w:val="24"/>
        </w:rPr>
        <w:t>ACTIVITY 2 — CHECKLIST</w:t>
      </w:r>
    </w:p>
    <w:p>
      <w:r>
        <w:rPr>
          <w:b/>
          <w:color w:val="111827"/>
          <w:sz w:val="30"/>
        </w:rPr>
        <w:t>Lean, Six Sigma, Waste, Voice of Customer, and Value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Core Activity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45 min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DMAIC PHASE</w:t>
            </w:r>
          </w:p>
          <w:p>
            <w:r>
              <w:rPr>
                <w:color w:val="111827"/>
                <w:sz w:val="18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K1, A2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Lean, Six Sigma, Waste, Voice of Customer, and Value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Every CTQ is measurable and carries a target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At least five VOC statements translated through need to CTQ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Each process activity classified VA, BVA or NVA with a justification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Every waste observation tagged to exactly one of the eight DOWNTIME wastes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You can state the difference between a defect and a waste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Every CTQ is measurable with a target, and each waste observation is tagged to one of the eight waste types.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Yellow Belt (CLSSYB) Training · TGS-2025053922 · Version v9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