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7 — CHECKLIST</w:t>
      </w:r>
    </w:p>
    <w:p>
      <w:r>
        <w:rPr>
          <w:b/>
          <w:color w:val="111827"/>
          <w:sz w:val="30"/>
        </w:rPr>
        <w:t>Pareto, Run Charts, Variation, Yield, DPU, and DPMO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75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A3, 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Pareto, Run Charts, Variation, Yield, DPU, and DPMO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Pareto table sorted highest to lowest with a cumulative column reaching 100%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Vital few identified as the categories carrying ~80% of defects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Run chart plotted from assignment-times.csv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Run chart pattern named (trend / shift / cluster / oscillation)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Yield, DPU, DPO and DPMO all calculated from the data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DPMO converted to a sigma level and interpreted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Common-cause and special-cause variation distinguished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cumulative percentage column reaches 100%, and you can state the sigma level with the DPMO it came from.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