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3 — CHECKLIST</w:t>
      </w:r>
    </w:p>
    <w:p>
      <w:r>
        <w:rPr>
          <w:b/>
          <w:color w:val="111827"/>
          <w:sz w:val="30"/>
        </w:rPr>
        <w:t>SIPOC, Process Mapping, Handoffs, and SME Support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60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A2, A3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SIPOC, Process Mapping, Handoffs, and SME Support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All five SIPOC columns populated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Process kept to 5-7 high-level steps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At least three pain points tagged on the flow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handoff has a named owner on both sides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'Check my SIPOC' run in the tool and passing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SME notes prepared for the Green Belt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Run 'Check my SIPOC' in the tool — all five columns populated, 5-7 steps, at least three pain points, and every handoff owned on both sides.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