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2 — CHECKLIST</w:t>
      </w:r>
    </w:p>
    <w:p>
      <w:r>
        <w:rPr>
          <w:b/>
          <w:color w:val="111827"/>
          <w:sz w:val="30"/>
        </w:rPr>
        <w:t>Lean, Six Sigma, Waste, Voice of Customer, and Value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K1, A2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Lean, Six Sigma, Waste, Voice of Customer, and Value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CTQ is measurable and carries a target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five VOC statements translated through need to CTQ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process activity classified VA, BVA or NVA with a justification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waste observation tagged to exactly one of the eight DOWNTIME wastes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You can state the difference between a defect and a waste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CTQ is measurable with a target, and each waste observation is tagged to one of the eight waste types.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