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Training  ·  TGS-2025053922</w:t>
            </w:r>
          </w:p>
        </w:tc>
      </w:tr>
    </w:tbl>
    <w:p>
      <w:r>
        <w:rPr>
          <w:b/>
          <w:color w:val="1F6FEB"/>
          <w:sz w:val="24"/>
        </w:rPr>
        <w:t>ACTIVITY 3 — CHECKLIST</w:t>
      </w:r>
    </w:p>
    <w:p>
      <w:r>
        <w:rPr>
          <w:b/>
          <w:color w:val="111827"/>
          <w:sz w:val="30"/>
        </w:rPr>
        <w:t>SIPOC, Process Mapping, Handoffs, and SME Support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Core Lab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60 min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A2, A3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SIPOC, Process Mapping, Handoffs, and SME Support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All five SIPOC columns populated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Process kept to 5-7 high-level steps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At least three pain points tagged on the flow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Every handoff has a named owner on both sides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'Check my SIPOC' run in the tool and passing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SME notes prepared for the Green Belt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Run 'Check my SIPOC' in the tool — all five columns populated, 5-7 steps, at least three pain points, and every handoff owned on both sides.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Training · TGS-2025053922 · Version v9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