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5 — CHECKLIST</w:t>
      </w:r>
    </w:p>
    <w:p>
      <w:r>
        <w:rPr>
          <w:b/>
          <w:color w:val="111827"/>
          <w:sz w:val="30"/>
        </w:rPr>
        <w:t>DMAIC Overview, Problem Statement, Scope, and Stakeholders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45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A1, A2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DMAIC Overview, Problem Statement, Scope, and Stakeholders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All five DMAIC phases summarised with purpose and deliverable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Problem statement passes the 'no solution named' test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Every stakeholder classified by influence and interest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Each stakeholder has a defined engagement approach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Expected benefit stated in business terms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Your problem statement passes the 'no solution named' test and every stakeholder has a defined engagement approach.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