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Training  ·  TGS-2025053922</w:t>
            </w:r>
          </w:p>
        </w:tc>
      </w:tr>
    </w:tbl>
    <w:p>
      <w:r>
        <w:rPr>
          <w:b/>
          <w:color w:val="1F6FEB"/>
          <w:sz w:val="24"/>
        </w:rPr>
        <w:t>ACTIVITY 13 — CHECKLIST</w:t>
      </w:r>
    </w:p>
    <w:p>
      <w:r>
        <w:rPr>
          <w:b/>
          <w:color w:val="111827"/>
          <w:sz w:val="30"/>
        </w:rPr>
        <w:t>Solution Selection Matrix, Benchmarking, and FMEA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Elective Lab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60 min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IMPROVE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A5, K2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Solution Selection Matrix, Benchmarking, and FMEA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Selection criteria agreed and weighted by importance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Every candidate solution scored against every criterion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Solutions ranked by weighted score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Benchmark comparison made and the gap noted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FMEA rows carry failure mode, effect, cause, S, O and D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RPN calculated as S x O x D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Action defined for the highest-RPN failure modes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Your matrix ranks solutions by weighted score, and every FMEA row has an RPN and an action for the highest scores.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Training · TGS-2025053922 · Version v9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