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13 — CHECKLIST</w:t>
      </w:r>
    </w:p>
    <w:p>
      <w:r>
        <w:rPr>
          <w:b/>
          <w:color w:val="111827"/>
          <w:sz w:val="30"/>
        </w:rPr>
        <w:t>Solution Selection Matrix, Benchmarking, and FMEA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A5, K2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Solution Selection Matrix, Benchmarking, and FMEA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Selection criteria agreed and weighted by importance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candidate solution scored against every criterion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Solutions ranked by weighted score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Benchmark comparison made and the gap noted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FMEA rows carry failure mode, effect, cause, S, O and 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RPN calculated as S x O x 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Action defined for the highest-RPN failure modes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matrix ranks solutions by weighted score, and every FMEA row has an RPN and an action for the highest scores.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