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Corporate Law Compliance for Business Owners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TGS-2025053923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25 April 2025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Initial accredited lesson plan.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12 August 2026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Rebuilt one-day lesson plan with actual slide mapping, eight case activities and aligned WA/CS assessment.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A one-day WSQ course that equips business owners and decision-makers to assess legal/regulatory impacts, make proportionate decisions and influence business units to implement compliant operating practices.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Assess the implications of global legal developments and business laws on the organisation's regulatory framework.</w:t>
      </w:r>
    </w:p>
    <w:p>
      <w:pPr>
        <w:pStyle w:val="ListBullet"/>
      </w:pPr>
      <w:r>
        <w:t>LO2: Drive decision-making based on regulatory changes and influence business units to adapt to new laws.</w:t>
      </w:r>
    </w:p>
    <w:p>
      <w:pPr>
        <w:pStyle w:val="Heading1"/>
      </w:pPr>
      <w:r>
        <w:t>Daily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vAlign w:val="center"/>
            <w:shd w:fill="1F6F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936"/>
            <w:vAlign w:val="center"/>
            <w:shd w:fill="1F6F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4104"/>
            <w:vAlign w:val="center"/>
            <w:shd w:fill="1F6F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944"/>
            <w:vAlign w:val="center"/>
            <w:shd w:fill="1F6F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80"/>
            <w:vAlign w:val="center"/>
            <w:shd w:fill="1F6F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9:00-9:30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 min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Administration, introductions, outcomes and assessment briefing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Summative assessment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1-16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9:30-10:30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Compliance foundations and Topic 1 concepts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Lecture / visual discussion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17-39</w:t>
            </w:r>
          </w:p>
        </w:tc>
      </w:tr>
      <w:tr>
        <w:tc>
          <w:tcPr>
            <w:tcW w:type="dxa" w:w="1296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10:30-10:40</w:t>
            </w:r>
          </w:p>
        </w:tc>
        <w:tc>
          <w:tcPr>
            <w:tcW w:type="dxa" w:w="936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4104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Morning break</w:t>
            </w:r>
          </w:p>
        </w:tc>
        <w:tc>
          <w:tcPr>
            <w:tcW w:type="dxa" w:w="1944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080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10:40-12:05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85 min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Topic 1 applications and Activities 1-2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Case activity / facilitated discussion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17-39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12:05-1:00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55 min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Topic 2 concepts and Activity 3 setup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Lecture / visual discussion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41-57</w:t>
            </w:r>
          </w:p>
        </w:tc>
      </w:tr>
      <w:tr>
        <w:tc>
          <w:tcPr>
            <w:tcW w:type="dxa" w:w="1296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1:00-1:40</w:t>
            </w:r>
          </w:p>
        </w:tc>
        <w:tc>
          <w:tcPr>
            <w:tcW w:type="dxa" w:w="936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40 min</w:t>
            </w:r>
          </w:p>
        </w:tc>
        <w:tc>
          <w:tcPr>
            <w:tcW w:type="dxa" w:w="4104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944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080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1:40-3:05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85 min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Topic 2 applications and Activity 4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Case activity / facilitated discussion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41-57</w:t>
            </w:r>
          </w:p>
        </w:tc>
      </w:tr>
      <w:tr>
        <w:tc>
          <w:tcPr>
            <w:tcW w:type="dxa" w:w="1296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3:05-3:15</w:t>
            </w:r>
          </w:p>
        </w:tc>
        <w:tc>
          <w:tcPr>
            <w:tcW w:type="dxa" w:w="936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4104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Afternoon break</w:t>
            </w:r>
          </w:p>
        </w:tc>
        <w:tc>
          <w:tcPr>
            <w:tcW w:type="dxa" w:w="1944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080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3:15-4:05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Topic 3 concepts and Activities 5-6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Lecture / visual discussion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59-75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4:05-4:45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40 min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Topic 4 concepts and Activities 7-8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Lecture / visual discussion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77-93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4:45-5:00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Course recap and assessment readiness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Case activity / facilitated discussion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94-103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5:00-6:00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Final assessment: WA-SAQ 30 min + Case Study 30 min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Summative assessment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</w:tr>
    </w:tbl>
    <w:p>
      <w:pPr>
        <w:pStyle w:val="Heading1"/>
      </w:pPr>
      <w:r>
        <w:t>Topic-by-Topic Breakdown</w:t>
      </w:r>
    </w:p>
    <w:p>
      <w:pPr>
        <w:pStyle w:val="Heading2"/>
      </w:pPr>
      <w:r>
        <w:t>Topic 1: Singapore's Legal and Regulatory Framework in a Global Context | Slides 23-39</w:t>
      </w:r>
    </w:p>
    <w:p>
      <w:r>
        <w:t>Mapping: K1, A1 / LO1. Corporate duties, governance, registers, financial reporting and cross-border legal triggers</w:t>
      </w:r>
    </w:p>
    <w:p>
      <w:pPr>
        <w:pStyle w:val="ListBullet"/>
      </w:pPr>
      <w:r>
        <w:t>Singapore's business-law ecosystem</w:t>
      </w:r>
    </w:p>
    <w:p>
      <w:pPr>
        <w:pStyle w:val="ListBullet"/>
      </w:pPr>
      <w:r>
        <w:t>How legal requirements reach the business</w:t>
      </w:r>
    </w:p>
    <w:p>
      <w:pPr>
        <w:pStyle w:val="ListBullet"/>
      </w:pPr>
      <w:r>
        <w:t>Five non-delegable director touchpoints</w:t>
      </w:r>
    </w:p>
    <w:p>
      <w:pPr>
        <w:pStyle w:val="ListBullet"/>
      </w:pPr>
      <w:r>
        <w:t>Director oversight: weak versus defensible</w:t>
      </w:r>
    </w:p>
    <w:p>
      <w:pPr>
        <w:pStyle w:val="ListBullet"/>
      </w:pPr>
      <w:r>
        <w:t>Annual corporate housekeeping</w:t>
      </w:r>
    </w:p>
    <w:p>
      <w:pPr>
        <w:pStyle w:val="ListBullet"/>
      </w:pPr>
      <w:r>
        <w:t>Registers and key deadlines</w:t>
      </w:r>
    </w:p>
    <w:p>
      <w:pPr>
        <w:pStyle w:val="ListBullet"/>
      </w:pPr>
      <w:r>
        <w:t>The 16 June 2025 register change</w:t>
      </w:r>
    </w:p>
    <w:p>
      <w:pPr>
        <w:pStyle w:val="ListBullet"/>
      </w:pPr>
      <w:r>
        <w:t>Financial reporting: what directors must do</w:t>
      </w:r>
    </w:p>
    <w:p>
      <w:pPr>
        <w:pStyle w:val="ListBullet"/>
      </w:pPr>
      <w:r>
        <w:t>Annual return and tax return are different</w:t>
      </w:r>
    </w:p>
    <w:p>
      <w:pPr>
        <w:pStyle w:val="ListBullet"/>
      </w:pPr>
      <w:r>
        <w:t>Global developments become local business issues when...</w:t>
      </w:r>
    </w:p>
    <w:p>
      <w:pPr>
        <w:pStyle w:val="Heading3"/>
      </w:pPr>
      <w:r>
        <w:t>Activity 1: Board Duties and Governance Gap Scan | Slides 34-36</w:t>
      </w:r>
    </w:p>
    <w:p>
      <w:r>
        <w:t>25 minutes. Identify director, record, reporting and register gaps; distinguish tasks that may be outsourced from accountability that remains with directors. Deliverable: One-page governance gap scan and two-minute board briefing.</w:t>
      </w:r>
    </w:p>
    <w:p>
      <w:pPr>
        <w:pStyle w:val="Heading3"/>
      </w:pPr>
      <w:r>
        <w:t>Activity 2: Global Trigger and Regulatory Perimeter Map | Slides 37-39</w:t>
      </w:r>
    </w:p>
    <w:p>
      <w:r>
        <w:t>20 minutes. Show how customers, data flows, contracts, staff and suppliers can make global legal developments relevant to a Singapore business. Deliverable: Regulatory perimeter map with owners and escalation rules.</w:t>
      </w:r>
    </w:p>
    <w:p>
      <w:pPr>
        <w:pStyle w:val="Heading2"/>
      </w:pPr>
      <w:r>
        <w:t>Topic 2: Industry-Specific Business Laws and Compliance | Slides 41-57</w:t>
      </w:r>
    </w:p>
    <w:p>
      <w:r>
        <w:t>Mapping: K1, A1 / LO1. Tax, GST, employment, CPF, workplace safety, data protection and sector overlays</w:t>
      </w:r>
    </w:p>
    <w:p>
      <w:pPr>
        <w:pStyle w:val="ListBullet"/>
      </w:pPr>
      <w:r>
        <w:t>Build the compliance universe from business facts</w:t>
      </w:r>
    </w:p>
    <w:p>
      <w:pPr>
        <w:pStyle w:val="ListBullet"/>
      </w:pPr>
      <w:r>
        <w:t>Corporate income tax filing rhythm</w:t>
      </w:r>
    </w:p>
    <w:p>
      <w:pPr>
        <w:pStyle w:val="ListBullet"/>
      </w:pPr>
      <w:r>
        <w:t>Tax records must tell the transaction story</w:t>
      </w:r>
    </w:p>
    <w:p>
      <w:pPr>
        <w:pStyle w:val="ListBullet"/>
      </w:pPr>
      <w:r>
        <w:t>GST-registered business responsibilities</w:t>
      </w:r>
    </w:p>
    <w:p>
      <w:pPr>
        <w:pStyle w:val="ListBullet"/>
      </w:pPr>
      <w:r>
        <w:t>Manual filing and seamless filing</w:t>
      </w:r>
    </w:p>
    <w:p>
      <w:pPr>
        <w:pStyle w:val="ListBullet"/>
      </w:pPr>
      <w:r>
        <w:t>Who requires CPF contributions?</w:t>
      </w:r>
    </w:p>
    <w:p>
      <w:pPr>
        <w:pStyle w:val="ListBullet"/>
      </w:pPr>
      <w:r>
        <w:t>Monthly CPF control</w:t>
      </w:r>
    </w:p>
    <w:p>
      <w:pPr>
        <w:pStyle w:val="ListBullet"/>
      </w:pPr>
      <w:r>
        <w:t>Employer responsibilities under the WSH Act</w:t>
      </w:r>
    </w:p>
    <w:p>
      <w:pPr>
        <w:pStyle w:val="ListBullet"/>
      </w:pPr>
      <w:r>
        <w:t>PDPA obligations as an operating system</w:t>
      </w:r>
    </w:p>
    <w:p>
      <w:pPr>
        <w:pStyle w:val="ListBullet"/>
      </w:pPr>
      <w:r>
        <w:t>Notifiable data breach timeline</w:t>
      </w:r>
    </w:p>
    <w:p>
      <w:pPr>
        <w:pStyle w:val="Heading3"/>
      </w:pPr>
      <w:r>
        <w:t>Activity 3: Five-Agency Compliance Calendar | Slides 52-54</w:t>
      </w:r>
    </w:p>
    <w:p>
      <w:r>
        <w:t>25 minutes. Convert company facts into a calendar of ACRA, IRAS, MOM/CPF, WSH and PDPA responsibilities with evidence owners. Deliverable: 12-month compliance calendar and evidence register.</w:t>
      </w:r>
    </w:p>
    <w:p>
      <w:pPr>
        <w:pStyle w:val="Heading3"/>
      </w:pPr>
      <w:r>
        <w:t>Activity 4: Data Breach Notification Tabletop | Slides 55-57</w:t>
      </w:r>
    </w:p>
    <w:p>
      <w:r>
        <w:t>20 minutes. Practise containment, assessment, decision ownership, notification timing and evidence capture under the PDPA breach-notification framework. Deliverable: Incident decision log, notification outline and remediation list.</w:t>
      </w:r>
    </w:p>
    <w:p>
      <w:pPr>
        <w:pStyle w:val="Heading2"/>
      </w:pPr>
      <w:r>
        <w:t>Topic 3: Business Decision-Making in Response to Regulatory Changes | Slides 59-75</w:t>
      </w:r>
    </w:p>
    <w:p>
      <w:r>
        <w:t>Mapping: K2, A2 / LO2. From regulatory signal to proportionate, documented and evidence-backed action</w:t>
      </w:r>
    </w:p>
    <w:p>
      <w:pPr>
        <w:pStyle w:val="ListBullet"/>
      </w:pPr>
      <w:r>
        <w:t>The SCAN decision model</w:t>
      </w:r>
    </w:p>
    <w:p>
      <w:pPr>
        <w:pStyle w:val="ListBullet"/>
      </w:pPr>
      <w:r>
        <w:t>Start with business facts, not a generic checklist</w:t>
      </w:r>
    </w:p>
    <w:p>
      <w:pPr>
        <w:pStyle w:val="ListBullet"/>
      </w:pPr>
      <w:r>
        <w:t>Six impact lenses</w:t>
      </w:r>
    </w:p>
    <w:p>
      <w:pPr>
        <w:pStyle w:val="ListBullet"/>
      </w:pPr>
      <w:r>
        <w:t>Score compliance risk consistently</w:t>
      </w:r>
    </w:p>
    <w:p>
      <w:pPr>
        <w:pStyle w:val="ListBullet"/>
      </w:pPr>
      <w:r>
        <w:t>Control design hierarchy</w:t>
      </w:r>
    </w:p>
    <w:p>
      <w:pPr>
        <w:pStyle w:val="ListBullet"/>
      </w:pPr>
      <w:r>
        <w:t>Compliance options are business options</w:t>
      </w:r>
    </w:p>
    <w:p>
      <w:pPr>
        <w:pStyle w:val="ListBullet"/>
      </w:pPr>
      <w:r>
        <w:t>A board-ready decision memo</w:t>
      </w:r>
    </w:p>
    <w:p>
      <w:pPr>
        <w:pStyle w:val="ListBullet"/>
      </w:pPr>
      <w:r>
        <w:t>Evidence that a decision was reasonable</w:t>
      </w:r>
    </w:p>
    <w:p>
      <w:pPr>
        <w:pStyle w:val="ListBullet"/>
      </w:pPr>
      <w:r>
        <w:t>Regulatory change implementation</w:t>
      </w:r>
    </w:p>
    <w:p>
      <w:pPr>
        <w:pStyle w:val="ListBullet"/>
      </w:pPr>
      <w:r>
        <w:t>The lowest-cost control is not always the most proportionate control.</w:t>
      </w:r>
    </w:p>
    <w:p>
      <w:pPr>
        <w:pStyle w:val="Heading3"/>
      </w:pPr>
      <w:r>
        <w:t>Activity 5: Regulatory Change Impact Assessment | Slides 70-72</w:t>
      </w:r>
    </w:p>
    <w:p>
      <w:r>
        <w:t>25 minutes. Use the SCAN model to assess the effect of an ACRA register change on processes, systems, roles, evidence and third-party instructions. Deliverable: Completed impact assessment and recommendation.</w:t>
      </w:r>
    </w:p>
    <w:p>
      <w:pPr>
        <w:pStyle w:val="Heading3"/>
      </w:pPr>
      <w:r>
        <w:t>Activity 6: Board Decision Memo: Digital Filing Controls | Slides 73-75</w:t>
      </w:r>
    </w:p>
    <w:p>
      <w:r>
        <w:t>20 minutes. Frame a proportionate board decision that balances legal compliance, control quality, cost, implementation risk and operational benefit. Deliverable: One-page board decision memo.</w:t>
      </w:r>
    </w:p>
    <w:p>
      <w:pPr>
        <w:pStyle w:val="Heading2"/>
      </w:pPr>
      <w:r>
        <w:t>Topic 4: Influencing Business Units to Adapt to New Regulations | Slides 77-93</w:t>
      </w:r>
    </w:p>
    <w:p>
      <w:r>
        <w:t>Mapping: K2, A3 / LO2. Stakeholder alignment, role clarity, communication, training and compliance culture</w:t>
      </w:r>
    </w:p>
    <w:p>
      <w:pPr>
        <w:pStyle w:val="ListBullet"/>
      </w:pPr>
      <w:r>
        <w:t>Map stakeholders by impact and influence</w:t>
      </w:r>
    </w:p>
    <w:p>
      <w:pPr>
        <w:pStyle w:val="ListBullet"/>
      </w:pPr>
      <w:r>
        <w:t>Translate legal text into four business questions</w:t>
      </w:r>
    </w:p>
    <w:p>
      <w:pPr>
        <w:pStyle w:val="ListBullet"/>
      </w:pPr>
      <w:r>
        <w:t>Compliance as friction or enablement</w:t>
      </w:r>
    </w:p>
    <w:p>
      <w:pPr>
        <w:pStyle w:val="ListBullet"/>
      </w:pPr>
      <w:r>
        <w:t>RACI prevents accountability gaps</w:t>
      </w:r>
    </w:p>
    <w:p>
      <w:pPr>
        <w:pStyle w:val="ListBullet"/>
      </w:pPr>
      <w:r>
        <w:t>Role-based compliance learning</w:t>
      </w:r>
    </w:p>
    <w:p>
      <w:pPr>
        <w:pStyle w:val="ListBullet"/>
      </w:pPr>
      <w:r>
        <w:t>Make it safe to surface problems</w:t>
      </w:r>
    </w:p>
    <w:p>
      <w:pPr>
        <w:pStyle w:val="ListBullet"/>
      </w:pPr>
      <w:r>
        <w:t>Board reporting that drives action</w:t>
      </w:r>
    </w:p>
    <w:p>
      <w:pPr>
        <w:pStyle w:val="ListBullet"/>
      </w:pPr>
      <w:r>
        <w:t>Leading and lagging indicators</w:t>
      </w:r>
    </w:p>
    <w:p>
      <w:pPr>
        <w:pStyle w:val="ListBullet"/>
      </w:pPr>
      <w:r>
        <w:t>A 30-60-90 day adaptation plan</w:t>
      </w:r>
    </w:p>
    <w:p>
      <w:pPr>
        <w:pStyle w:val="ListBullet"/>
      </w:pPr>
      <w:r>
        <w:t>People support change when the requirement is clear, the design is workable, and leaders model it.</w:t>
      </w:r>
    </w:p>
    <w:p>
      <w:pPr>
        <w:pStyle w:val="Heading3"/>
      </w:pPr>
      <w:r>
        <w:t>Activity 7: Influence Plan for Privacy-by-Design | Slides 88-90</w:t>
      </w:r>
    </w:p>
    <w:p>
      <w:r>
        <w:t>25 minutes. Build a stakeholder-specific influence plan that positions compliance as a workable design constraint and business enabler. Deliverable: Stakeholder map, influence messages and RACI.</w:t>
      </w:r>
    </w:p>
    <w:p>
      <w:pPr>
        <w:pStyle w:val="Heading3"/>
      </w:pPr>
      <w:r>
        <w:t>Activity 8: 90-Day Compliance Operating Model | Slides 91-93</w:t>
      </w:r>
    </w:p>
    <w:p>
      <w:r>
        <w:t>20 minutes. Design a practical 30-60-90 day operating model covering ownership, calendar, controls, training, reporting, speak-up channels and assurance. Deliverable: 30-60-90 day roadmap and monthly compliance dashboard outline.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Trainer PPTX and learner slide PDF</w:t>
      </w:r>
    </w:p>
    <w:p>
      <w:pPr>
        <w:pStyle w:val="ListBullet"/>
      </w:pPr>
      <w:r>
        <w:t>Learner Guide</w:t>
      </w:r>
    </w:p>
    <w:p>
      <w:pPr>
        <w:pStyle w:val="ListBullet"/>
      </w:pPr>
      <w:r>
        <w:t>Eight activity Markdown worksheets</w:t>
      </w:r>
    </w:p>
    <w:p>
      <w:pPr>
        <w:pStyle w:val="ListBullet"/>
      </w:pPr>
      <w:r>
        <w:t>Current access to ACRA, IRAS, MOM and PDPC websites</w:t>
      </w:r>
    </w:p>
    <w:p>
      <w:pPr>
        <w:pStyle w:val="ListBullet"/>
      </w:pPr>
      <w:r>
        <w:t>Flipchart/whiteboard or shared document for group outputs</w:t>
      </w:r>
    </w:p>
    <w:p>
      <w:pPr>
        <w:pStyle w:val="ListBullet"/>
      </w:pPr>
      <w:r>
        <w:t>LMS access for attendance and assessment</w:t>
      </w:r>
    </w:p>
    <w:p>
      <w:pPr>
        <w:pStyle w:val="Heading1"/>
      </w:pPr>
      <w:r>
        <w:t>Assessment</w:t>
      </w:r>
    </w:p>
    <w:p>
      <w:r>
        <w:t>5:00 PM-6:00 PM: WA-SAQ (30 minutes), then Case Study (30 minutes).</w:t>
      </w:r>
    </w:p>
    <w:p>
      <w:r>
        <w:t>Both instruments are individual, summative and open book. The WA covers K1-K2; the Case Study covers A1-A3. Candidates submit on the LMS and sign the Assessment Summary Record.</w:t>
      </w:r>
    </w:p>
    <w:p>
      <w:r>
        <w:t xml:space="preserve">LMS: </w:t>
      </w:r>
      <w:hyperlink r:id="rId10">
        <w:r>
          <w:rPr>
            <w:color w:val="1F6FEB"/>
            <w:u w:val="single"/>
          </w:rPr>
          <w:t>https://lms-tms.tertiaryinfotech.com/</w:t>
        </w:r>
      </w:hyperlink>
    </w:p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6F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2B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