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rFonts w:ascii="Arial" w:hAnsi="Arial"/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rFonts w:ascii="Arial" w:hAnsi="Arial"/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rFonts w:ascii="Arial" w:hAnsi="Arial"/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rFonts w:ascii="Arial" w:hAnsi="Arial"/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rFonts w:ascii="Arial" w:hAnsi="Arial"/>
          <w:b/>
          <w:color w:val="111827"/>
          <w:sz w:val="40"/>
        </w:rPr>
        <w:t>ISO 14001:2015 Internal Auditor Training</w:t>
      </w:r>
    </w:p>
    <w:p>
      <w:pPr>
        <w:spacing w:before="80" w:after="280"/>
        <w:jc w:val="center"/>
      </w:pPr>
      <w:r>
        <w:rPr>
          <w:rFonts w:ascii="Arial" w:hAnsi="Arial"/>
          <w:b w:val="0"/>
          <w:color w:val="111827"/>
          <w:sz w:val="24"/>
        </w:rPr>
        <w:t>TGS Ref No: TGS-2025054479</w:t>
      </w:r>
    </w:p>
    <w:p>
      <w:pPr>
        <w:spacing w:before="0" w:after="40"/>
        <w:jc w:val="center"/>
      </w:pPr>
      <w:r>
        <w:rPr>
          <w:rFonts w:ascii="Arial" w:hAnsi="Arial"/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rFonts w:ascii="Arial" w:hAnsi="Arial"/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rFonts w:ascii="Arial" w:hAnsi="Arial"/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rFonts w:ascii="Arial" w:hAnsi="Arial"/>
          <w:b/>
          <w:color w:val="1F6FEB"/>
          <w:sz w:val="24"/>
        </w:rPr>
        <w:t>Version 5.0</w:t>
      </w:r>
    </w:p>
    <w:p>
      <w:r>
        <w:br w:type="page"/>
      </w:r>
    </w:p>
    <w:p>
      <w:pPr>
        <w:spacing w:after="120"/>
      </w:pPr>
      <w:r>
        <w:rPr>
          <w:rFonts w:ascii="Arial" w:hAnsi="Arial"/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3535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3535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3535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3535"/>
          </w:tcPr>
          <w:p>
            <w:r/>
            <w:r>
              <w:rPr>
                <w:rFonts w:ascii="Arial" w:hAnsi="Arial"/>
                <w:sz w:val="19"/>
              </w:rPr>
              <w:t>1.0</w:t>
            </w:r>
          </w:p>
        </w:tc>
        <w:tc>
          <w:tcPr>
            <w:tcW w:type="dxa" w:w="3535"/>
          </w:tcPr>
          <w:p>
            <w:r/>
            <w:r>
              <w:rPr>
                <w:rFonts w:ascii="Arial" w:hAnsi="Arial"/>
                <w:sz w:val="19"/>
              </w:rPr>
              <w:t>19 Apr 2025</w:t>
            </w:r>
          </w:p>
        </w:tc>
        <w:tc>
          <w:tcPr>
            <w:tcW w:type="dxa" w:w="3535"/>
          </w:tcPr>
          <w:p>
            <w:r/>
            <w:r>
              <w:rPr>
                <w:rFonts w:ascii="Arial" w:hAnsi="Arial"/>
                <w:sz w:val="19"/>
              </w:rPr>
              <w:t>First version</w:t>
            </w:r>
          </w:p>
        </w:tc>
        <w:tc>
          <w:tcPr>
            <w:tcW w:type="dxa" w:w="3535"/>
          </w:tcPr>
          <w:p>
            <w:r/>
            <w:r>
              <w:rPr>
                <w:rFonts w:ascii="Arial" w:hAnsi="Arial"/>
                <w:sz w:val="19"/>
              </w:rPr>
              <w:t>Tertiary Infotech Academy</w:t>
            </w:r>
          </w:p>
        </w:tc>
      </w:tr>
      <w:tr>
        <w:tc>
          <w:tcPr>
            <w:tcW w:type="dxa" w:w="3535"/>
          </w:tcPr>
          <w:p>
            <w:r/>
            <w:r>
              <w:rPr>
                <w:rFonts w:ascii="Arial" w:hAnsi="Arial"/>
                <w:sz w:val="19"/>
              </w:rPr>
              <w:t>2.0</w:t>
            </w:r>
          </w:p>
        </w:tc>
        <w:tc>
          <w:tcPr>
            <w:tcW w:type="dxa" w:w="3535"/>
          </w:tcPr>
          <w:p>
            <w:r/>
            <w:r>
              <w:rPr>
                <w:rFonts w:ascii="Arial" w:hAnsi="Arial"/>
                <w:sz w:val="19"/>
              </w:rPr>
              <w:t>8 May 2025</w:t>
            </w:r>
          </w:p>
        </w:tc>
        <w:tc>
          <w:tcPr>
            <w:tcW w:type="dxa" w:w="3535"/>
          </w:tcPr>
          <w:p>
            <w:r/>
            <w:r>
              <w:rPr>
                <w:rFonts w:ascii="Arial" w:hAnsi="Arial"/>
                <w:sz w:val="19"/>
              </w:rPr>
              <w:t>Second version</w:t>
            </w:r>
          </w:p>
        </w:tc>
        <w:tc>
          <w:tcPr>
            <w:tcW w:type="dxa" w:w="3535"/>
          </w:tcPr>
          <w:p>
            <w:r/>
            <w:r>
              <w:rPr>
                <w:rFonts w:ascii="Arial" w:hAnsi="Arial"/>
                <w:sz w:val="19"/>
              </w:rPr>
              <w:t>Tertiary Infotech Academy</w:t>
            </w:r>
          </w:p>
        </w:tc>
      </w:tr>
      <w:tr>
        <w:tc>
          <w:tcPr>
            <w:tcW w:type="dxa" w:w="3535"/>
          </w:tcPr>
          <w:p>
            <w:r/>
            <w:r>
              <w:rPr>
                <w:rFonts w:ascii="Arial" w:hAnsi="Arial"/>
                <w:sz w:val="19"/>
              </w:rPr>
              <w:t>3.0</w:t>
            </w:r>
          </w:p>
        </w:tc>
        <w:tc>
          <w:tcPr>
            <w:tcW w:type="dxa" w:w="3535"/>
          </w:tcPr>
          <w:p>
            <w:r/>
            <w:r>
              <w:rPr>
                <w:rFonts w:ascii="Arial" w:hAnsi="Arial"/>
                <w:sz w:val="19"/>
              </w:rPr>
              <w:t>—</w:t>
            </w:r>
          </w:p>
        </w:tc>
        <w:tc>
          <w:tcPr>
            <w:tcW w:type="dxa" w:w="3535"/>
          </w:tcPr>
          <w:p>
            <w:r/>
            <w:r>
              <w:rPr>
                <w:rFonts w:ascii="Arial" w:hAnsi="Arial"/>
                <w:sz w:val="19"/>
              </w:rPr>
              <w:t>New format</w:t>
            </w:r>
          </w:p>
        </w:tc>
        <w:tc>
          <w:tcPr>
            <w:tcW w:type="dxa" w:w="3535"/>
          </w:tcPr>
          <w:p>
            <w:r/>
            <w:r>
              <w:rPr>
                <w:rFonts w:ascii="Arial" w:hAnsi="Arial"/>
                <w:sz w:val="19"/>
              </w:rPr>
              <w:t>Tertiary Infotech Academy</w:t>
            </w:r>
          </w:p>
        </w:tc>
      </w:tr>
      <w:tr>
        <w:tc>
          <w:tcPr>
            <w:tcW w:type="dxa" w:w="3535"/>
          </w:tcPr>
          <w:p>
            <w:r/>
            <w:r>
              <w:rPr>
                <w:rFonts w:ascii="Arial" w:hAnsi="Arial"/>
                <w:sz w:val="19"/>
              </w:rPr>
              <w:t>4.0</w:t>
            </w:r>
          </w:p>
        </w:tc>
        <w:tc>
          <w:tcPr>
            <w:tcW w:type="dxa" w:w="3535"/>
          </w:tcPr>
          <w:p>
            <w:r/>
            <w:r>
              <w:rPr>
                <w:rFonts w:ascii="Arial" w:hAnsi="Arial"/>
                <w:sz w:val="19"/>
              </w:rPr>
              <w:t>17 Oct 2025</w:t>
            </w:r>
          </w:p>
        </w:tc>
        <w:tc>
          <w:tcPr>
            <w:tcW w:type="dxa" w:w="3535"/>
          </w:tcPr>
          <w:p>
            <w:r/>
            <w:r>
              <w:rPr>
                <w:rFonts w:ascii="Arial" w:hAnsi="Arial"/>
                <w:sz w:val="19"/>
              </w:rPr>
              <w:t>Update company name</w:t>
            </w:r>
          </w:p>
        </w:tc>
        <w:tc>
          <w:tcPr>
            <w:tcW w:type="dxa" w:w="3535"/>
          </w:tcPr>
          <w:p>
            <w:r/>
            <w:r>
              <w:rPr>
                <w:rFonts w:ascii="Arial" w:hAnsi="Arial"/>
                <w:sz w:val="19"/>
              </w:rPr>
              <w:t>Tertiary Infotech Academy</w:t>
            </w:r>
          </w:p>
        </w:tc>
      </w:tr>
      <w:tr>
        <w:tc>
          <w:tcPr>
            <w:tcW w:type="dxa" w:w="3535"/>
          </w:tcPr>
          <w:p>
            <w:r/>
            <w:r>
              <w:rPr>
                <w:rFonts w:ascii="Arial" w:hAnsi="Arial"/>
                <w:sz w:val="19"/>
              </w:rPr>
              <w:t>5.0</w:t>
            </w:r>
          </w:p>
        </w:tc>
        <w:tc>
          <w:tcPr>
            <w:tcW w:type="dxa" w:w="3535"/>
          </w:tcPr>
          <w:p>
            <w:r/>
            <w:r>
              <w:rPr>
                <w:rFonts w:ascii="Arial" w:hAnsi="Arial"/>
                <w:sz w:val="19"/>
              </w:rPr>
              <w:t>17 August 2026</w:t>
            </w:r>
          </w:p>
        </w:tc>
        <w:tc>
          <w:tcPr>
            <w:tcW w:type="dxa" w:w="3535"/>
          </w:tcPr>
          <w:p>
            <w:r/>
            <w:r>
              <w:rPr>
                <w:rFonts w:ascii="Arial" w:hAnsi="Arial"/>
                <w:sz w:val="19"/>
              </w:rPr>
              <w:t>Full content rebuild against ISO 14001:2015 and ISO 19011:2018. Schedule corrected to 14 h facilitation + 2 h assessment with no timing gaps. Three case-study activities added (GreenPack, AquaPure, EcoTech) with slide references generated from the deck.</w:t>
            </w:r>
          </w:p>
        </w:tc>
        <w:tc>
          <w:tcPr>
            <w:tcW w:type="dxa" w:w="3535"/>
          </w:tcPr>
          <w:p>
            <w:r/>
            <w:r>
              <w:rPr>
                <w:rFonts w:ascii="Arial" w:hAnsi="Arial"/>
                <w:sz w:val="19"/>
              </w:rPr>
              <w:t>Tertiary Infotech Academy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Arial" w:hAnsi="Arial"/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1. 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2. 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3. Knowledge and Ability Statements Assessed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4. Course Outline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1: ISO 14001:2015 Internal Auditor Framework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2: Auditing ISO 14001:2015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3: Risk Assessment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5. Daily Schedule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</w:t>
        <w:tab/>
        <w:t>7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6. Hands-On Activities</w:t>
        <w:tab/>
        <w:t>10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7. Assessment Plan</w:t>
        <w:tab/>
        <w:t>10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8. Resources Required</w:t>
        <w:tab/>
        <w:t>10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1. 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3402"/>
            <w:shd w:val="clear" w:color="auto" w:fill="F5F8FC"/>
          </w:tcPr>
          <w:p>
            <w:r/>
            <w:r>
              <w:rPr>
                <w:rFonts w:ascii="Arial" w:hAnsi="Arial"/>
                <w:b/>
                <w:sz w:val="20"/>
              </w:rPr>
              <w:t>Course Title</w:t>
            </w:r>
          </w:p>
        </w:tc>
        <w:tc>
          <w:tcPr>
            <w:tcW w:type="dxa" w:w="11339"/>
          </w:tcPr>
          <w:p>
            <w:r/>
            <w:r>
              <w:rPr>
                <w:rFonts w:ascii="Arial" w:hAnsi="Arial"/>
                <w:sz w:val="20"/>
              </w:rPr>
              <w:t>ISO 14001:2015 Internal Auditor Training</w:t>
            </w:r>
          </w:p>
        </w:tc>
      </w:tr>
      <w:tr>
        <w:tc>
          <w:tcPr>
            <w:tcW w:type="dxa" w:w="3402"/>
            <w:shd w:val="clear" w:color="auto" w:fill="F5F8FC"/>
          </w:tcPr>
          <w:p>
            <w:r/>
            <w:r>
              <w:rPr>
                <w:rFonts w:ascii="Arial" w:hAnsi="Arial"/>
                <w:b/>
                <w:sz w:val="20"/>
              </w:rPr>
              <w:t>TGS Reference Number</w:t>
            </w:r>
          </w:p>
        </w:tc>
        <w:tc>
          <w:tcPr>
            <w:tcW w:type="dxa" w:w="11339"/>
          </w:tcPr>
          <w:p>
            <w:r/>
            <w:r>
              <w:rPr>
                <w:rFonts w:ascii="Arial" w:hAnsi="Arial"/>
                <w:sz w:val="20"/>
              </w:rPr>
              <w:t>TGS-2025054479</w:t>
            </w:r>
          </w:p>
        </w:tc>
      </w:tr>
      <w:tr>
        <w:tc>
          <w:tcPr>
            <w:tcW w:type="dxa" w:w="3402"/>
            <w:shd w:val="clear" w:color="auto" w:fill="F5F8FC"/>
          </w:tcPr>
          <w:p>
            <w:r/>
            <w:r>
              <w:rPr>
                <w:rFonts w:ascii="Arial" w:hAnsi="Arial"/>
                <w:b/>
                <w:sz w:val="20"/>
              </w:rPr>
              <w:t>Training Provider</w:t>
            </w:r>
          </w:p>
        </w:tc>
        <w:tc>
          <w:tcPr>
            <w:tcW w:type="dxa" w:w="11339"/>
          </w:tcPr>
          <w:p>
            <w:r/>
            <w:r>
              <w:rPr>
                <w:rFonts w:ascii="Arial" w:hAnsi="Arial"/>
                <w:sz w:val="20"/>
              </w:rPr>
              <w:t>Tertiary Infotech Academy Pte Ltd (UEN: 201200696W)</w:t>
            </w:r>
          </w:p>
        </w:tc>
      </w:tr>
      <w:tr>
        <w:tc>
          <w:tcPr>
            <w:tcW w:type="dxa" w:w="3402"/>
            <w:shd w:val="clear" w:color="auto" w:fill="F5F8FC"/>
          </w:tcPr>
          <w:p>
            <w:r/>
            <w:r>
              <w:rPr>
                <w:rFonts w:ascii="Arial" w:hAnsi="Arial"/>
                <w:b/>
                <w:sz w:val="20"/>
              </w:rPr>
              <w:t>TSC Title / Code</w:t>
            </w:r>
          </w:p>
        </w:tc>
        <w:tc>
          <w:tcPr>
            <w:tcW w:type="dxa" w:w="11339"/>
          </w:tcPr>
          <w:p>
            <w:r/>
            <w:r>
              <w:rPr>
                <w:rFonts w:ascii="Arial" w:hAnsi="Arial"/>
                <w:sz w:val="20"/>
              </w:rPr>
              <w:t>Internal Audit Engagement Planning · ACC-IAD-3005-1.1 · Level 1</w:t>
            </w:r>
          </w:p>
        </w:tc>
      </w:tr>
      <w:tr>
        <w:tc>
          <w:tcPr>
            <w:tcW w:type="dxa" w:w="3402"/>
            <w:shd w:val="clear" w:color="auto" w:fill="F5F8FC"/>
          </w:tcPr>
          <w:p>
            <w:r/>
            <w:r>
              <w:rPr>
                <w:rFonts w:ascii="Arial" w:hAnsi="Arial"/>
                <w:b/>
                <w:sz w:val="20"/>
              </w:rPr>
              <w:t>Mode of Delivery</w:t>
            </w:r>
          </w:p>
        </w:tc>
        <w:tc>
          <w:tcPr>
            <w:tcW w:type="dxa" w:w="11339"/>
          </w:tcPr>
          <w:p>
            <w:r/>
            <w:r>
              <w:rPr>
                <w:rFonts w:ascii="Arial" w:hAnsi="Arial"/>
                <w:sz w:val="20"/>
              </w:rPr>
              <w:t>Classroom / Instructor-led (Physical)</w:t>
            </w:r>
          </w:p>
        </w:tc>
      </w:tr>
      <w:tr>
        <w:tc>
          <w:tcPr>
            <w:tcW w:type="dxa" w:w="3402"/>
            <w:shd w:val="clear" w:color="auto" w:fill="F5F8FC"/>
          </w:tcPr>
          <w:p>
            <w:r/>
            <w:r>
              <w:rPr>
                <w:rFonts w:ascii="Arial" w:hAnsi="Arial"/>
                <w:b/>
                <w:sz w:val="20"/>
              </w:rPr>
              <w:t>Course Duration</w:t>
            </w:r>
          </w:p>
        </w:tc>
        <w:tc>
          <w:tcPr>
            <w:tcW w:type="dxa" w:w="11339"/>
          </w:tcPr>
          <w:p>
            <w:r/>
            <w:r>
              <w:rPr>
                <w:rFonts w:ascii="Arial" w:hAnsi="Arial"/>
                <w:sz w:val="20"/>
              </w:rPr>
              <w:t>16 hours over 2 days (14 h facilitation + 2 h assessment)</w:t>
            </w:r>
          </w:p>
        </w:tc>
      </w:tr>
      <w:tr>
        <w:tc>
          <w:tcPr>
            <w:tcW w:type="dxa" w:w="3402"/>
            <w:shd w:val="clear" w:color="auto" w:fill="F5F8FC"/>
          </w:tcPr>
          <w:p>
            <w:r/>
            <w:r>
              <w:rPr>
                <w:rFonts w:ascii="Arial" w:hAnsi="Arial"/>
                <w:b/>
                <w:sz w:val="20"/>
              </w:rPr>
              <w:t>Class Timing</w:t>
            </w:r>
          </w:p>
        </w:tc>
        <w:tc>
          <w:tcPr>
            <w:tcW w:type="dxa" w:w="11339"/>
          </w:tcPr>
          <w:p>
            <w:r/>
            <w:r>
              <w:rPr>
                <w:rFonts w:ascii="Arial" w:hAnsi="Arial"/>
                <w:sz w:val="20"/>
              </w:rPr>
              <w:t>Day 1: 9:30 am – 5:45 pm  ·  Day 2: 9:30 am – 7:45 pm (including the 2-hour assessment)</w:t>
            </w:r>
          </w:p>
        </w:tc>
      </w:tr>
      <w:tr>
        <w:tc>
          <w:tcPr>
            <w:tcW w:type="dxa" w:w="3402"/>
            <w:shd w:val="clear" w:color="auto" w:fill="F5F8FC"/>
          </w:tcPr>
          <w:p>
            <w:r/>
            <w:r>
              <w:rPr>
                <w:rFonts w:ascii="Arial" w:hAnsi="Arial"/>
                <w:b/>
                <w:sz w:val="20"/>
              </w:rPr>
              <w:t>Assessment Methods</w:t>
            </w:r>
          </w:p>
        </w:tc>
        <w:tc>
          <w:tcPr>
            <w:tcW w:type="dxa" w:w="11339"/>
          </w:tcPr>
          <w:p>
            <w:r/>
            <w:r>
              <w:rPr>
                <w:rFonts w:ascii="Arial" w:hAnsi="Arial"/>
                <w:sz w:val="20"/>
              </w:rPr>
              <w:t>Written Assessment – Short Answer Questions (WA/SAQ), 1 hour · Case Study (CS), 1 hour · both open book</w:t>
            </w:r>
          </w:p>
        </w:tc>
      </w:tr>
      <w:tr>
        <w:tc>
          <w:tcPr>
            <w:tcW w:type="dxa" w:w="3402"/>
            <w:shd w:val="clear" w:color="auto" w:fill="F5F8FC"/>
          </w:tcPr>
          <w:p>
            <w:r/>
            <w:r>
              <w:rPr>
                <w:rFonts w:ascii="Arial" w:hAnsi="Arial"/>
                <w:b/>
                <w:sz w:val="20"/>
              </w:rPr>
              <w:t>Grading</w:t>
            </w:r>
          </w:p>
        </w:tc>
        <w:tc>
          <w:tcPr>
            <w:tcW w:type="dxa" w:w="11339"/>
          </w:tcPr>
          <w:p>
            <w:r/>
            <w:r>
              <w:rPr>
                <w:rFonts w:ascii="Arial" w:hAnsi="Arial"/>
                <w:sz w:val="20"/>
              </w:rPr>
              <w:t>Competent (C) / Not Yet Competent (NYC)</w:t>
            </w:r>
          </w:p>
        </w:tc>
      </w:tr>
      <w:tr>
        <w:tc>
          <w:tcPr>
            <w:tcW w:type="dxa" w:w="3402"/>
            <w:shd w:val="clear" w:color="auto" w:fill="F5F8FC"/>
          </w:tcPr>
          <w:p>
            <w:r/>
            <w:r>
              <w:rPr>
                <w:rFonts w:ascii="Arial" w:hAnsi="Arial"/>
                <w:b/>
                <w:sz w:val="20"/>
              </w:rPr>
              <w:t>Max Class Size</w:t>
            </w:r>
          </w:p>
        </w:tc>
        <w:tc>
          <w:tcPr>
            <w:tcW w:type="dxa" w:w="11339"/>
          </w:tcPr>
          <w:p>
            <w:r/>
            <w:r>
              <w:rPr>
                <w:rFonts w:ascii="Arial" w:hAnsi="Arial"/>
                <w:sz w:val="20"/>
              </w:rPr>
              <w:t>20 learners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2. Learning Outcomes</w:t>
      </w:r>
    </w:p>
    <w:p>
      <w:pPr>
        <w:spacing w:after="120"/>
      </w:pPr>
      <w:r>
        <w:rPr>
          <w:rFonts w:ascii="Arial" w:hAnsi="Arial"/>
          <w:b w:val="0"/>
          <w:color w:val="111827"/>
          <w:sz w:val="22"/>
        </w:rPr>
        <w:t>On completion of this course, learners will be able to:</w:t>
      </w:r>
    </w:p>
    <w:p>
      <w:pPr>
        <w:pStyle w:val="ListBullet"/>
      </w:pPr>
      <w:r>
        <w:rPr>
          <w:rFonts w:ascii="Arial" w:hAnsi="Arial"/>
          <w:b w:val="0"/>
          <w:color w:val="111827"/>
          <w:sz w:val="21"/>
        </w:rPr>
        <w:t>LO1: Identify ISO 14001:2015 standards for internal auditing based on the International Professional Practices Framework (IPPF) and organisational risks</w:t>
      </w:r>
    </w:p>
    <w:p>
      <w:pPr>
        <w:pStyle w:val="ListBullet"/>
      </w:pPr>
      <w:r>
        <w:rPr>
          <w:rFonts w:ascii="Arial" w:hAnsi="Arial"/>
          <w:b w:val="0"/>
          <w:color w:val="111827"/>
          <w:sz w:val="21"/>
        </w:rPr>
        <w:t>LO2: Identify phases of engagement with stakeholders by applying ISO 14001:2015 internal audit methodologies and procedures</w:t>
      </w:r>
    </w:p>
    <w:p>
      <w:pPr>
        <w:pStyle w:val="ListBullet"/>
      </w:pPr>
      <w:r>
        <w:rPr>
          <w:rFonts w:ascii="Arial" w:hAnsi="Arial"/>
          <w:b w:val="0"/>
          <w:color w:val="111827"/>
          <w:sz w:val="21"/>
        </w:rPr>
        <w:t>LO3: Support preliminary risk assessments using risk identification and assessment techniques</w:t>
      </w:r>
    </w:p>
    <w:p>
      <w:pPr>
        <w:pStyle w:val="Heading1"/>
      </w:pPr>
      <w:r>
        <w:rPr>
          <w:rFonts w:ascii="Arial" w:hAnsi="Arial"/>
        </w:rPr>
        <w:t>3. Knowledge and Ability Statements Assessed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4713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Code</w:t>
            </w:r>
          </w:p>
        </w:tc>
        <w:tc>
          <w:tcPr>
            <w:tcW w:type="dxa" w:w="4713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Statement</w:t>
            </w:r>
          </w:p>
        </w:tc>
        <w:tc>
          <w:tcPr>
            <w:tcW w:type="dxa" w:w="4713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Assessed by</w:t>
            </w:r>
          </w:p>
        </w:tc>
      </w:tr>
      <w:tr>
        <w:tc>
          <w:tcPr>
            <w:tcW w:type="dxa" w:w="4713"/>
          </w:tcPr>
          <w:p>
            <w:r/>
            <w:r>
              <w:rPr>
                <w:rFonts w:ascii="Arial" w:hAnsi="Arial"/>
                <w:b/>
                <w:sz w:val="19"/>
              </w:rPr>
              <w:t>K1</w:t>
            </w:r>
          </w:p>
        </w:tc>
        <w:tc>
          <w:tcPr>
            <w:tcW w:type="dxa" w:w="4713"/>
          </w:tcPr>
          <w:p>
            <w:r/>
            <w:r>
              <w:rPr>
                <w:rFonts w:ascii="Arial" w:hAnsi="Arial"/>
                <w:b w:val="0"/>
                <w:sz w:val="19"/>
              </w:rPr>
              <w:t>International Professional Practices Framework (IPPF) comprising definitions of Internal Auditing, Code of Ethics, core principles and International Standards for the Professional Practice of Internal Auditing</w:t>
            </w:r>
          </w:p>
        </w:tc>
        <w:tc>
          <w:tcPr>
            <w:tcW w:type="dxa" w:w="4713"/>
          </w:tcPr>
          <w:p>
            <w:r/>
            <w:r>
              <w:rPr>
                <w:rFonts w:ascii="Arial" w:hAnsi="Arial"/>
                <w:b w:val="0"/>
                <w:sz w:val="19"/>
              </w:rPr>
              <w:t>Written Assessment (SAQ)</w:t>
            </w:r>
          </w:p>
        </w:tc>
      </w:tr>
      <w:tr>
        <w:tc>
          <w:tcPr>
            <w:tcW w:type="dxa" w:w="4713"/>
          </w:tcPr>
          <w:p>
            <w:r/>
            <w:r>
              <w:rPr>
                <w:rFonts w:ascii="Arial" w:hAnsi="Arial"/>
                <w:b/>
                <w:sz w:val="19"/>
              </w:rPr>
              <w:t>K2</w:t>
            </w:r>
          </w:p>
        </w:tc>
        <w:tc>
          <w:tcPr>
            <w:tcW w:type="dxa" w:w="4713"/>
          </w:tcPr>
          <w:p>
            <w:r/>
            <w:r>
              <w:rPr>
                <w:rFonts w:ascii="Arial" w:hAnsi="Arial"/>
                <w:b w:val="0"/>
                <w:sz w:val="19"/>
              </w:rPr>
              <w:t>Organisation's significant risks, objectives, resources, operations, businesses and structure</w:t>
            </w:r>
          </w:p>
        </w:tc>
        <w:tc>
          <w:tcPr>
            <w:tcW w:type="dxa" w:w="4713"/>
          </w:tcPr>
          <w:p>
            <w:r/>
            <w:r>
              <w:rPr>
                <w:rFonts w:ascii="Arial" w:hAnsi="Arial"/>
                <w:b w:val="0"/>
                <w:sz w:val="19"/>
              </w:rPr>
              <w:t>Written Assessment (SAQ)</w:t>
            </w:r>
          </w:p>
        </w:tc>
      </w:tr>
      <w:tr>
        <w:tc>
          <w:tcPr>
            <w:tcW w:type="dxa" w:w="4713"/>
          </w:tcPr>
          <w:p>
            <w:r/>
            <w:r>
              <w:rPr>
                <w:rFonts w:ascii="Arial" w:hAnsi="Arial"/>
                <w:b/>
                <w:sz w:val="19"/>
              </w:rPr>
              <w:t>K3</w:t>
            </w:r>
          </w:p>
        </w:tc>
        <w:tc>
          <w:tcPr>
            <w:tcW w:type="dxa" w:w="4713"/>
          </w:tcPr>
          <w:p>
            <w:r/>
            <w:r>
              <w:rPr>
                <w:rFonts w:ascii="Arial" w:hAnsi="Arial"/>
                <w:b w:val="0"/>
                <w:sz w:val="19"/>
              </w:rPr>
              <w:t>Internal audit methodologies and procedures of the organisation</w:t>
            </w:r>
          </w:p>
        </w:tc>
        <w:tc>
          <w:tcPr>
            <w:tcW w:type="dxa" w:w="4713"/>
          </w:tcPr>
          <w:p>
            <w:r/>
            <w:r>
              <w:rPr>
                <w:rFonts w:ascii="Arial" w:hAnsi="Arial"/>
                <w:b w:val="0"/>
                <w:sz w:val="19"/>
              </w:rPr>
              <w:t>Written Assessment (SAQ)</w:t>
            </w:r>
          </w:p>
        </w:tc>
      </w:tr>
      <w:tr>
        <w:tc>
          <w:tcPr>
            <w:tcW w:type="dxa" w:w="4713"/>
          </w:tcPr>
          <w:p>
            <w:r/>
            <w:r>
              <w:rPr>
                <w:rFonts w:ascii="Arial" w:hAnsi="Arial"/>
                <w:b/>
                <w:sz w:val="19"/>
              </w:rPr>
              <w:t>K4</w:t>
            </w:r>
          </w:p>
        </w:tc>
        <w:tc>
          <w:tcPr>
            <w:tcW w:type="dxa" w:w="4713"/>
          </w:tcPr>
          <w:p>
            <w:r/>
            <w:r>
              <w:rPr>
                <w:rFonts w:ascii="Arial" w:hAnsi="Arial"/>
                <w:b w:val="0"/>
                <w:sz w:val="19"/>
              </w:rPr>
              <w:t>Risk identification and assessment techniques</w:t>
            </w:r>
          </w:p>
        </w:tc>
        <w:tc>
          <w:tcPr>
            <w:tcW w:type="dxa" w:w="4713"/>
          </w:tcPr>
          <w:p>
            <w:r/>
            <w:r>
              <w:rPr>
                <w:rFonts w:ascii="Arial" w:hAnsi="Arial"/>
                <w:b w:val="0"/>
                <w:sz w:val="19"/>
              </w:rPr>
              <w:t>Written Assessment (SAQ)</w:t>
            </w:r>
          </w:p>
        </w:tc>
      </w:tr>
      <w:tr>
        <w:tc>
          <w:tcPr>
            <w:tcW w:type="dxa" w:w="4713"/>
          </w:tcPr>
          <w:p>
            <w:r/>
            <w:r>
              <w:rPr>
                <w:rFonts w:ascii="Arial" w:hAnsi="Arial"/>
                <w:b/>
                <w:sz w:val="19"/>
              </w:rPr>
              <w:t>A1</w:t>
            </w:r>
          </w:p>
        </w:tc>
        <w:tc>
          <w:tcPr>
            <w:tcW w:type="dxa" w:w="4713"/>
          </w:tcPr>
          <w:p>
            <w:r/>
            <w:r>
              <w:rPr>
                <w:rFonts w:ascii="Arial" w:hAnsi="Arial"/>
                <w:b w:val="0"/>
                <w:sz w:val="19"/>
              </w:rPr>
              <w:t>Identify relevant frameworks, guidelines and standards to be applied in the engagement</w:t>
            </w:r>
          </w:p>
        </w:tc>
        <w:tc>
          <w:tcPr>
            <w:tcW w:type="dxa" w:w="4713"/>
          </w:tcPr>
          <w:p>
            <w:r/>
            <w:r>
              <w:rPr>
                <w:rFonts w:ascii="Arial" w:hAnsi="Arial"/>
                <w:b w:val="0"/>
                <w:sz w:val="19"/>
              </w:rPr>
              <w:t>Case Study (CS)</w:t>
            </w:r>
          </w:p>
        </w:tc>
      </w:tr>
      <w:tr>
        <w:tc>
          <w:tcPr>
            <w:tcW w:type="dxa" w:w="4713"/>
          </w:tcPr>
          <w:p>
            <w:r/>
            <w:r>
              <w:rPr>
                <w:rFonts w:ascii="Arial" w:hAnsi="Arial"/>
                <w:b/>
                <w:sz w:val="19"/>
              </w:rPr>
              <w:t>A2</w:t>
            </w:r>
          </w:p>
        </w:tc>
        <w:tc>
          <w:tcPr>
            <w:tcW w:type="dxa" w:w="4713"/>
          </w:tcPr>
          <w:p>
            <w:r/>
            <w:r>
              <w:rPr>
                <w:rFonts w:ascii="Arial" w:hAnsi="Arial"/>
                <w:b w:val="0"/>
                <w:sz w:val="19"/>
              </w:rPr>
              <w:t>Identify stages of the engagement and various stakeholders involved</w:t>
            </w:r>
          </w:p>
        </w:tc>
        <w:tc>
          <w:tcPr>
            <w:tcW w:type="dxa" w:w="4713"/>
          </w:tcPr>
          <w:p>
            <w:r/>
            <w:r>
              <w:rPr>
                <w:rFonts w:ascii="Arial" w:hAnsi="Arial"/>
                <w:b w:val="0"/>
                <w:sz w:val="19"/>
              </w:rPr>
              <w:t>Case Study (CS)</w:t>
            </w:r>
          </w:p>
        </w:tc>
      </w:tr>
      <w:tr>
        <w:tc>
          <w:tcPr>
            <w:tcW w:type="dxa" w:w="4713"/>
          </w:tcPr>
          <w:p>
            <w:r/>
            <w:r>
              <w:rPr>
                <w:rFonts w:ascii="Arial" w:hAnsi="Arial"/>
                <w:b/>
                <w:sz w:val="19"/>
              </w:rPr>
              <w:t>A3</w:t>
            </w:r>
          </w:p>
        </w:tc>
        <w:tc>
          <w:tcPr>
            <w:tcW w:type="dxa" w:w="4713"/>
          </w:tcPr>
          <w:p>
            <w:r/>
            <w:r>
              <w:rPr>
                <w:rFonts w:ascii="Arial" w:hAnsi="Arial"/>
                <w:b w:val="0"/>
                <w:sz w:val="19"/>
              </w:rPr>
              <w:t>Support conduct of preliminary survey and risk assessment</w:t>
            </w:r>
          </w:p>
        </w:tc>
        <w:tc>
          <w:tcPr>
            <w:tcW w:type="dxa" w:w="4713"/>
          </w:tcPr>
          <w:p>
            <w:r/>
            <w:r>
              <w:rPr>
                <w:rFonts w:ascii="Arial" w:hAnsi="Arial"/>
                <w:b w:val="0"/>
                <w:sz w:val="19"/>
              </w:rPr>
              <w:t>Case Study (CS)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4. Course Outline</w:t>
      </w:r>
    </w:p>
    <w:p>
      <w:pPr>
        <w:pStyle w:val="Heading2"/>
      </w:pPr>
      <w:r>
        <w:rPr>
          <w:rFonts w:ascii="Arial" w:hAnsi="Arial"/>
        </w:rPr>
        <w:t>Topic 1: ISO 14001:2015 Internal Auditor Framework</w:t>
      </w:r>
    </w:p>
    <w:p>
      <w:pPr>
        <w:spacing w:after="120"/>
      </w:pPr>
      <w:r>
        <w:rPr>
          <w:rFonts w:ascii="Arial" w:hAnsi="Arial"/>
          <w:b/>
          <w:color w:val="111827"/>
          <w:sz w:val="21"/>
        </w:rPr>
        <w:t>LU1: Introduction to ISO 14001:2015</w:t>
      </w:r>
      <w:r>
        <w:rPr>
          <w:rFonts w:ascii="Arial" w:hAnsi="Arial"/>
          <w:b w:val="0"/>
          <w:color w:val="111827"/>
          <w:sz w:val="21"/>
        </w:rPr>
        <w:t xml:space="preserve">  ·  Learning outcome </w:t>
      </w:r>
      <w:r>
        <w:rPr>
          <w:rFonts w:ascii="Arial" w:hAnsi="Arial"/>
          <w:b/>
          <w:color w:val="111827"/>
          <w:sz w:val="21"/>
        </w:rPr>
        <w:t>LO1</w:t>
      </w:r>
      <w:r>
        <w:rPr>
          <w:rFonts w:ascii="Arial" w:hAnsi="Arial"/>
          <w:b w:val="0"/>
          <w:color w:val="111827"/>
          <w:sz w:val="21"/>
        </w:rPr>
        <w:t xml:space="preserve">  ·  Knowledge/Ability: </w:t>
      </w:r>
      <w:r>
        <w:rPr>
          <w:rFonts w:ascii="Arial" w:hAnsi="Arial"/>
          <w:b/>
          <w:color w:val="111827"/>
          <w:sz w:val="21"/>
        </w:rPr>
        <w:t>K1 · K2 · A1</w:t>
      </w:r>
    </w:p>
    <w:p>
      <w:pPr>
        <w:pStyle w:val="ListBullet"/>
      </w:pPr>
      <w:r>
        <w:rPr>
          <w:rFonts w:ascii="Arial" w:hAnsi="Arial"/>
          <w:b w:val="0"/>
          <w:color w:val="111827"/>
          <w:sz w:val="21"/>
        </w:rPr>
        <w:t>Overview of International Professional Practices Framework (IPPF)</w:t>
      </w:r>
    </w:p>
    <w:p>
      <w:pPr>
        <w:pStyle w:val="ListBullet"/>
      </w:pPr>
      <w:r>
        <w:rPr>
          <w:rFonts w:ascii="Arial" w:hAnsi="Arial"/>
          <w:b w:val="0"/>
          <w:color w:val="111827"/>
          <w:sz w:val="21"/>
        </w:rPr>
        <w:t>Introduction of ISO 14001:2015 and Environmental Management System (EMS)</w:t>
      </w:r>
    </w:p>
    <w:p>
      <w:pPr>
        <w:pStyle w:val="ListBullet"/>
      </w:pPr>
      <w:r>
        <w:rPr>
          <w:rFonts w:ascii="Arial" w:hAnsi="Arial"/>
          <w:b w:val="0"/>
          <w:color w:val="111827"/>
          <w:sz w:val="21"/>
        </w:rPr>
        <w:t>Apply ISO 14001:2015 to Organization – Risks, Objectives, Resources, Operations</w:t>
      </w:r>
    </w:p>
    <w:p>
      <w:pPr>
        <w:pStyle w:val="Heading2"/>
      </w:pPr>
      <w:r>
        <w:rPr>
          <w:rFonts w:ascii="Arial" w:hAnsi="Arial"/>
        </w:rPr>
        <w:t>Topic 2: Auditing ISO 14001:2015</w:t>
      </w:r>
    </w:p>
    <w:p>
      <w:pPr>
        <w:spacing w:after="120"/>
      </w:pPr>
      <w:r>
        <w:rPr>
          <w:rFonts w:ascii="Arial" w:hAnsi="Arial"/>
          <w:b/>
          <w:color w:val="111827"/>
          <w:sz w:val="21"/>
        </w:rPr>
        <w:t>LU2: Auditing Methodologies</w:t>
      </w:r>
      <w:r>
        <w:rPr>
          <w:rFonts w:ascii="Arial" w:hAnsi="Arial"/>
          <w:b w:val="0"/>
          <w:color w:val="111827"/>
          <w:sz w:val="21"/>
        </w:rPr>
        <w:t xml:space="preserve">  ·  Learning outcome </w:t>
      </w:r>
      <w:r>
        <w:rPr>
          <w:rFonts w:ascii="Arial" w:hAnsi="Arial"/>
          <w:b/>
          <w:color w:val="111827"/>
          <w:sz w:val="21"/>
        </w:rPr>
        <w:t>LO2</w:t>
      </w:r>
      <w:r>
        <w:rPr>
          <w:rFonts w:ascii="Arial" w:hAnsi="Arial"/>
          <w:b w:val="0"/>
          <w:color w:val="111827"/>
          <w:sz w:val="21"/>
        </w:rPr>
        <w:t xml:space="preserve">  ·  Knowledge/Ability: </w:t>
      </w:r>
      <w:r>
        <w:rPr>
          <w:rFonts w:ascii="Arial" w:hAnsi="Arial"/>
          <w:b/>
          <w:color w:val="111827"/>
          <w:sz w:val="21"/>
        </w:rPr>
        <w:t>K3 · A2</w:t>
      </w:r>
    </w:p>
    <w:p>
      <w:pPr>
        <w:pStyle w:val="ListBullet"/>
      </w:pPr>
      <w:r>
        <w:rPr>
          <w:rFonts w:ascii="Arial" w:hAnsi="Arial"/>
          <w:b w:val="0"/>
          <w:color w:val="111827"/>
          <w:sz w:val="21"/>
        </w:rPr>
        <w:t>Internal audit methodologies and procedures for ISO 14001:2015</w:t>
      </w:r>
    </w:p>
    <w:p>
      <w:pPr>
        <w:pStyle w:val="ListBullet"/>
      </w:pPr>
      <w:r>
        <w:rPr>
          <w:rFonts w:ascii="Arial" w:hAnsi="Arial"/>
          <w:b w:val="0"/>
          <w:color w:val="111827"/>
          <w:sz w:val="21"/>
        </w:rPr>
        <w:t>Phases of auditing and engagement with stakeholders</w:t>
      </w:r>
    </w:p>
    <w:p>
      <w:pPr>
        <w:pStyle w:val="Heading2"/>
      </w:pPr>
      <w:r>
        <w:rPr>
          <w:rFonts w:ascii="Arial" w:hAnsi="Arial"/>
        </w:rPr>
        <w:t>Topic 3: Risk Assessment</w:t>
      </w:r>
    </w:p>
    <w:p>
      <w:pPr>
        <w:spacing w:after="120"/>
      </w:pPr>
      <w:r>
        <w:rPr>
          <w:rFonts w:ascii="Arial" w:hAnsi="Arial"/>
          <w:b/>
          <w:color w:val="111827"/>
          <w:sz w:val="21"/>
        </w:rPr>
        <w:t>LU3: Risk Assessment Techniques</w:t>
      </w:r>
      <w:r>
        <w:rPr>
          <w:rFonts w:ascii="Arial" w:hAnsi="Arial"/>
          <w:b w:val="0"/>
          <w:color w:val="111827"/>
          <w:sz w:val="21"/>
        </w:rPr>
        <w:t xml:space="preserve">  ·  Learning outcome </w:t>
      </w:r>
      <w:r>
        <w:rPr>
          <w:rFonts w:ascii="Arial" w:hAnsi="Arial"/>
          <w:b/>
          <w:color w:val="111827"/>
          <w:sz w:val="21"/>
        </w:rPr>
        <w:t>LO3</w:t>
      </w:r>
      <w:r>
        <w:rPr>
          <w:rFonts w:ascii="Arial" w:hAnsi="Arial"/>
          <w:b w:val="0"/>
          <w:color w:val="111827"/>
          <w:sz w:val="21"/>
        </w:rPr>
        <w:t xml:space="preserve">  ·  Knowledge/Ability: </w:t>
      </w:r>
      <w:r>
        <w:rPr>
          <w:rFonts w:ascii="Arial" w:hAnsi="Arial"/>
          <w:b/>
          <w:color w:val="111827"/>
          <w:sz w:val="21"/>
        </w:rPr>
        <w:t>K4 · A3</w:t>
      </w:r>
    </w:p>
    <w:p>
      <w:pPr>
        <w:pStyle w:val="ListBullet"/>
      </w:pPr>
      <w:r>
        <w:rPr>
          <w:rFonts w:ascii="Arial" w:hAnsi="Arial"/>
          <w:b w:val="0"/>
          <w:color w:val="111827"/>
          <w:sz w:val="21"/>
        </w:rPr>
        <w:t>Conducting Risk assessment</w:t>
      </w:r>
    </w:p>
    <w:p>
      <w:pPr>
        <w:pStyle w:val="ListBullet"/>
      </w:pPr>
      <w:r>
        <w:rPr>
          <w:rFonts w:ascii="Arial" w:hAnsi="Arial"/>
          <w:b w:val="0"/>
          <w:color w:val="111827"/>
          <w:sz w:val="21"/>
        </w:rPr>
        <w:t>Writing effective corrective action requests</w:t>
      </w:r>
    </w:p>
    <w:p>
      <w:pPr>
        <w:pStyle w:val="ListBullet"/>
      </w:pPr>
      <w:r>
        <w:rPr>
          <w:rFonts w:ascii="Arial" w:hAnsi="Arial"/>
          <w:b w:val="0"/>
          <w:color w:val="111827"/>
          <w:sz w:val="21"/>
        </w:rPr>
        <w:t>Preparing audit reports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5. Daily Schedule</w:t>
      </w:r>
    </w:p>
    <w:p>
      <w:pPr>
        <w:pStyle w:val="Heading2"/>
      </w:pPr>
      <w:r>
        <w:rPr>
          <w:rFonts w:ascii="Arial" w:hAnsi="Arial"/>
        </w:rPr>
        <w:t>Day 1</w:t>
      </w:r>
    </w:p>
    <w:p>
      <w:pPr>
        <w:spacing w:after="120"/>
      </w:pPr>
      <w:r>
        <w:rPr>
          <w:rFonts w:ascii="Arial" w:hAnsi="Arial"/>
          <w:b/>
          <w:color w:val="111827"/>
          <w:sz w:val="20"/>
        </w:rPr>
        <w:t>Total facilitation: 7 hours</w:t>
      </w:r>
      <w:r>
        <w:rPr>
          <w:rFonts w:ascii="Arial" w:hAnsi="Arial"/>
          <w:b w:val="0"/>
          <w:color w:val="111827"/>
          <w:sz w:val="20"/>
        </w:rPr>
        <w:t xml:space="preserve"> (9:30 am – 5:45 pm, excluding a 45-minute lunch break and two 15-minute tea breaks). Digital attendance is taken in the morning and the afternoon.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85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Start</w:t>
            </w:r>
          </w:p>
        </w:tc>
        <w:tc>
          <w:tcPr>
            <w:tcW w:type="dxa" w:w="85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End</w:t>
            </w:r>
          </w:p>
        </w:tc>
        <w:tc>
          <w:tcPr>
            <w:tcW w:type="dxa" w:w="1134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652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Topics / Content / Activity</w:t>
            </w:r>
          </w:p>
        </w:tc>
        <w:tc>
          <w:tcPr>
            <w:tcW w:type="dxa" w:w="226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Instructional Methods</w:t>
            </w:r>
          </w:p>
        </w:tc>
        <w:tc>
          <w:tcPr>
            <w:tcW w:type="dxa" w:w="311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Resources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9:30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9:45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15 min</w:t>
            </w:r>
          </w:p>
        </w:tc>
        <w:tc>
          <w:tcPr>
            <w:tcW w:type="dxa" w:w="6520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Digital Attendance (AM) · Welcome and course introduction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sz w:val="17"/>
              </w:rPr>
              <w:t>Trainer introduction · Learner introduction and ice-breaker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sz w:val="17"/>
              </w:rPr>
              <w:t>Overview of course structure · Ground rules · Learning outcomes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Admin · Ice-breaker</w:t>
            </w:r>
          </w:p>
        </w:tc>
        <w:tc>
          <w:tcPr>
            <w:tcW w:type="dxa" w:w="311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AM Digital Attendance (SSG QR) · Attendance sheet · Slides 2–17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9:45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11:15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1 h 30 min</w:t>
            </w:r>
          </w:p>
        </w:tc>
        <w:tc>
          <w:tcPr>
            <w:tcW w:type="dxa" w:w="6520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LU1: Introduction to ISO 14001:2015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sz w:val="17"/>
              </w:rPr>
              <w:t>T1: ISO 14001:2015 Internal Auditor Framework (K1, K2, A1)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sz w:val="17"/>
              </w:rPr>
              <w:t>• Overview of the International Professional Practices Framework (IPPF)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sz w:val="17"/>
              </w:rPr>
              <w:t>• Definition of Internal Auditing · Code of Ethics · Core Principles · Standards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sz w:val="17"/>
              </w:rPr>
              <w:t>• Independence and objectivity in practice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Lecture · Discussion</w:t>
            </w:r>
          </w:p>
        </w:tc>
        <w:tc>
          <w:tcPr>
            <w:tcW w:type="dxa" w:w="311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Trainer slides Slide 18+ · Learner Guide Topic 1 · TV · Whiteboard · Wi-Fi</w:t>
            </w:r>
          </w:p>
        </w:tc>
      </w:tr>
      <w:tr>
        <w:tc>
          <w:tcPr>
            <w:tcW w:type="dxa" w:w="850"/>
            <w:shd w:val="clear" w:color="auto" w:fill="FFF7E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11:15</w:t>
            </w:r>
          </w:p>
        </w:tc>
        <w:tc>
          <w:tcPr>
            <w:tcW w:type="dxa" w:w="850"/>
            <w:shd w:val="clear" w:color="auto" w:fill="FFF7E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11:30</w:t>
            </w:r>
          </w:p>
        </w:tc>
        <w:tc>
          <w:tcPr>
            <w:tcW w:type="dxa" w:w="1134"/>
            <w:shd w:val="clear" w:color="auto" w:fill="FFF7E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15 min</w:t>
            </w:r>
          </w:p>
        </w:tc>
        <w:tc>
          <w:tcPr>
            <w:tcW w:type="dxa" w:w="6520"/>
            <w:shd w:val="clear" w:color="auto" w:fill="FFF7E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Tea Break</w:t>
            </w:r>
          </w:p>
        </w:tc>
        <w:tc>
          <w:tcPr>
            <w:tcW w:type="dxa" w:w="2268"/>
            <w:shd w:val="clear" w:color="auto" w:fill="FFF7E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—</w:t>
            </w:r>
          </w:p>
        </w:tc>
        <w:tc>
          <w:tcPr>
            <w:tcW w:type="dxa" w:w="3118"/>
            <w:shd w:val="clear" w:color="auto" w:fill="FFF7E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—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11:30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13:15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1 h 45 min</w:t>
            </w:r>
          </w:p>
        </w:tc>
        <w:tc>
          <w:tcPr>
            <w:tcW w:type="dxa" w:w="6520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T1 continued (K1, K2)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sz w:val="17"/>
              </w:rPr>
              <w:t>• Introduction to ISO 14001:2015 and the Environmental Management System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sz w:val="17"/>
              </w:rPr>
              <w:t>• The three intended outcomes · PDCA and the Annex SL high level structure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sz w:val="17"/>
              </w:rPr>
              <w:t>• Clause-by-clause walkthrough: Clauses 4, 5 and 6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sz w:val="17"/>
              </w:rPr>
              <w:t>• Environmental aspects and impacts · compliance obligations (6.1.3)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Lecture · Worked examples · Peer sharing</w:t>
            </w:r>
          </w:p>
        </w:tc>
        <w:tc>
          <w:tcPr>
            <w:tcW w:type="dxa" w:w="311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Trainer slides · Learner Guide Topic 1 · Clause map handout · Whiteboard</w:t>
            </w:r>
          </w:p>
        </w:tc>
      </w:tr>
      <w:tr>
        <w:tc>
          <w:tcPr>
            <w:tcW w:type="dxa" w:w="850"/>
            <w:shd w:val="clear" w:color="auto" w:fill="FFF7E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13:15</w:t>
            </w:r>
          </w:p>
        </w:tc>
        <w:tc>
          <w:tcPr>
            <w:tcW w:type="dxa" w:w="850"/>
            <w:shd w:val="clear" w:color="auto" w:fill="FFF7E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14:00</w:t>
            </w:r>
          </w:p>
        </w:tc>
        <w:tc>
          <w:tcPr>
            <w:tcW w:type="dxa" w:w="1134"/>
            <w:shd w:val="clear" w:color="auto" w:fill="FFF7E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45 min</w:t>
            </w:r>
          </w:p>
        </w:tc>
        <w:tc>
          <w:tcPr>
            <w:tcW w:type="dxa" w:w="6520"/>
            <w:shd w:val="clear" w:color="auto" w:fill="FFF7E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Lunch Break</w:t>
            </w:r>
          </w:p>
        </w:tc>
        <w:tc>
          <w:tcPr>
            <w:tcW w:type="dxa" w:w="2268"/>
            <w:shd w:val="clear" w:color="auto" w:fill="FFF7E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—</w:t>
            </w:r>
          </w:p>
        </w:tc>
        <w:tc>
          <w:tcPr>
            <w:tcW w:type="dxa" w:w="3118"/>
            <w:shd w:val="clear" w:color="auto" w:fill="FFF7E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—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14:00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15:30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1 h 30 min</w:t>
            </w:r>
          </w:p>
        </w:tc>
        <w:tc>
          <w:tcPr>
            <w:tcW w:type="dxa" w:w="6520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Digital Attendance (PM)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sz w:val="17"/>
              </w:rPr>
              <w:t>T1 continued — Apply ISO 14001:2015 to the Organisation (K2, A1)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sz w:val="17"/>
              </w:rPr>
              <w:t>• Risks and opportunities vs environmental aspects · objectives (6.2)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sz w:val="17"/>
              </w:rPr>
              <w:t>• Clauses 7, 8, 9 and 10 · documented information (maintain vs retain)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sz w:val="17"/>
              </w:rPr>
              <w:t>ACTIVITY 1 — GreenPack: framework, context and scope (45 min)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Lecture · Case study · Group discussion</w:t>
            </w:r>
          </w:p>
        </w:tc>
        <w:tc>
          <w:tcPr>
            <w:tcW w:type="dxa" w:w="311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PM Digital Attendance · Activity 1 brief (activities/) · Slides 52–54</w:t>
            </w:r>
          </w:p>
        </w:tc>
      </w:tr>
      <w:tr>
        <w:tc>
          <w:tcPr>
            <w:tcW w:type="dxa" w:w="850"/>
            <w:shd w:val="clear" w:color="auto" w:fill="FFF7E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15:30</w:t>
            </w:r>
          </w:p>
        </w:tc>
        <w:tc>
          <w:tcPr>
            <w:tcW w:type="dxa" w:w="850"/>
            <w:shd w:val="clear" w:color="auto" w:fill="FFF7E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15:45</w:t>
            </w:r>
          </w:p>
        </w:tc>
        <w:tc>
          <w:tcPr>
            <w:tcW w:type="dxa" w:w="1134"/>
            <w:shd w:val="clear" w:color="auto" w:fill="FFF7E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15 min</w:t>
            </w:r>
          </w:p>
        </w:tc>
        <w:tc>
          <w:tcPr>
            <w:tcW w:type="dxa" w:w="6520"/>
            <w:shd w:val="clear" w:color="auto" w:fill="FFF7E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Tea Break</w:t>
            </w:r>
          </w:p>
        </w:tc>
        <w:tc>
          <w:tcPr>
            <w:tcW w:type="dxa" w:w="2268"/>
            <w:shd w:val="clear" w:color="auto" w:fill="FFF7E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—</w:t>
            </w:r>
          </w:p>
        </w:tc>
        <w:tc>
          <w:tcPr>
            <w:tcW w:type="dxa" w:w="3118"/>
            <w:shd w:val="clear" w:color="auto" w:fill="FFF7E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—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15:45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17:30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1 h 45 min</w:t>
            </w:r>
          </w:p>
        </w:tc>
        <w:tc>
          <w:tcPr>
            <w:tcW w:type="dxa" w:w="6520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LU2: Auditing Methodologies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sz w:val="17"/>
              </w:rPr>
              <w:t>T2: Auditing ISO 14001:2015 (K3, A2)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sz w:val="17"/>
              </w:rPr>
              <w:t>• ISO 19011:2018 — guidance vs requirement · the seven audit principles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sz w:val="17"/>
              </w:rPr>
              <w:t>• Managing the audit programme (Clause 5) vs conducting an audit (Clause 6)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sz w:val="17"/>
              </w:rPr>
              <w:t>• Internal audit methodologies and procedures of the organisation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Lecture · Discussion</w:t>
            </w:r>
          </w:p>
        </w:tc>
        <w:tc>
          <w:tcPr>
            <w:tcW w:type="dxa" w:w="311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Trainer slides Slide 55+ · Learner Guide Topic 2 · TV · Whiteboard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17:30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17:45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15 min</w:t>
            </w:r>
          </w:p>
        </w:tc>
        <w:tc>
          <w:tcPr>
            <w:tcW w:type="dxa" w:w="6520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Day 1 recap · Q&amp;A · preview of Day 2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Review · Q&amp;A</w:t>
            </w:r>
          </w:p>
        </w:tc>
        <w:tc>
          <w:tcPr>
            <w:tcW w:type="dxa" w:w="311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Trainer slides · Learner Guide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Arial" w:hAnsi="Arial"/>
        </w:rPr>
        <w:t>Day 2</w:t>
      </w:r>
    </w:p>
    <w:p>
      <w:pPr>
        <w:spacing w:after="120"/>
      </w:pPr>
      <w:r>
        <w:rPr>
          <w:rFonts w:ascii="Arial" w:hAnsi="Arial"/>
          <w:b/>
          <w:color w:val="111827"/>
          <w:sz w:val="20"/>
        </w:rPr>
        <w:t>Total facilitation: 7 hours + 2 hours assessment</w:t>
      </w:r>
      <w:r>
        <w:rPr>
          <w:rFonts w:ascii="Arial" w:hAnsi="Arial"/>
          <w:b w:val="0"/>
          <w:color w:val="111827"/>
          <w:sz w:val="20"/>
        </w:rPr>
        <w:t xml:space="preserve"> (9:30 am – 7:45 pm, excluding a 45-minute lunch break and two 15-minute tea breaks). Assessment digital attendance is taken before the assessment begins.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85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Start</w:t>
            </w:r>
          </w:p>
        </w:tc>
        <w:tc>
          <w:tcPr>
            <w:tcW w:type="dxa" w:w="85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End</w:t>
            </w:r>
          </w:p>
        </w:tc>
        <w:tc>
          <w:tcPr>
            <w:tcW w:type="dxa" w:w="1134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652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Topics / Content / Activity</w:t>
            </w:r>
          </w:p>
        </w:tc>
        <w:tc>
          <w:tcPr>
            <w:tcW w:type="dxa" w:w="226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Instructional Methods</w:t>
            </w:r>
          </w:p>
        </w:tc>
        <w:tc>
          <w:tcPr>
            <w:tcW w:type="dxa" w:w="311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Resources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9:30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9:45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15 min</w:t>
            </w:r>
          </w:p>
        </w:tc>
        <w:tc>
          <w:tcPr>
            <w:tcW w:type="dxa" w:w="6520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Digital Attendance (AM) · Day 1 recap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Admin · Review</w:t>
            </w:r>
          </w:p>
        </w:tc>
        <w:tc>
          <w:tcPr>
            <w:tcW w:type="dxa" w:w="311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AM Digital Attendance (SSG QR) · Attendance sheet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9:45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11:15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1 h 30 min</w:t>
            </w:r>
          </w:p>
        </w:tc>
        <w:tc>
          <w:tcPr>
            <w:tcW w:type="dxa" w:w="6520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T2 continued — Phases of Auditing (K3, A2)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sz w:val="17"/>
              </w:rPr>
              <w:t>• The six-stage audit lifecycle (ISO 19011 §6.2–6.7)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sz w:val="17"/>
              </w:rPr>
              <w:t>• Initiating · preparing · document review · the audit plan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sz w:val="17"/>
              </w:rPr>
              <w:t>• Building a risk-based audit checklist · sampling and the audit trail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sz w:val="17"/>
              </w:rPr>
              <w:t>• Audit evidence: the four sources · sufficient and appropriate evidence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Lecture · Worked examples</w:t>
            </w:r>
          </w:p>
        </w:tc>
        <w:tc>
          <w:tcPr>
            <w:tcW w:type="dxa" w:w="311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Trainer slides · Learner Guide Topic 2 · Checklist template · Whiteboard</w:t>
            </w:r>
          </w:p>
        </w:tc>
      </w:tr>
      <w:tr>
        <w:tc>
          <w:tcPr>
            <w:tcW w:type="dxa" w:w="850"/>
            <w:shd w:val="clear" w:color="auto" w:fill="FFF7E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11:15</w:t>
            </w:r>
          </w:p>
        </w:tc>
        <w:tc>
          <w:tcPr>
            <w:tcW w:type="dxa" w:w="850"/>
            <w:shd w:val="clear" w:color="auto" w:fill="FFF7E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11:30</w:t>
            </w:r>
          </w:p>
        </w:tc>
        <w:tc>
          <w:tcPr>
            <w:tcW w:type="dxa" w:w="1134"/>
            <w:shd w:val="clear" w:color="auto" w:fill="FFF7E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15 min</w:t>
            </w:r>
          </w:p>
        </w:tc>
        <w:tc>
          <w:tcPr>
            <w:tcW w:type="dxa" w:w="6520"/>
            <w:shd w:val="clear" w:color="auto" w:fill="FFF7E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Tea Break</w:t>
            </w:r>
          </w:p>
        </w:tc>
        <w:tc>
          <w:tcPr>
            <w:tcW w:type="dxa" w:w="2268"/>
            <w:shd w:val="clear" w:color="auto" w:fill="FFF7E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—</w:t>
            </w:r>
          </w:p>
        </w:tc>
        <w:tc>
          <w:tcPr>
            <w:tcW w:type="dxa" w:w="3118"/>
            <w:shd w:val="clear" w:color="auto" w:fill="FFF7E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—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11:30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13:00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1 h 30 min</w:t>
            </w:r>
          </w:p>
        </w:tc>
        <w:tc>
          <w:tcPr>
            <w:tcW w:type="dxa" w:w="6520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T2 continued — Engagement with Stakeholders (A2)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sz w:val="17"/>
              </w:rPr>
              <w:t>• Questioning technique: the funnel · 5W1H · 'show me' · PLOD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sz w:val="17"/>
              </w:rPr>
              <w:t>• Opening and closing meeting agendas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sz w:val="17"/>
              </w:rPr>
              <w:t>• Engaging operations staff, management, clients and regulators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sz w:val="17"/>
              </w:rPr>
              <w:t>ACTIVITY 2 — AquaPure: audit plan, checklist and interviews (60 min)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Case study · Role play · Group discussion</w:t>
            </w:r>
          </w:p>
        </w:tc>
        <w:tc>
          <w:tcPr>
            <w:tcW w:type="dxa" w:w="311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Activity 2 brief (activities/) · Slides 76–78 · Flip chart</w:t>
            </w:r>
          </w:p>
        </w:tc>
      </w:tr>
      <w:tr>
        <w:tc>
          <w:tcPr>
            <w:tcW w:type="dxa" w:w="850"/>
            <w:shd w:val="clear" w:color="auto" w:fill="FFF7E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13:00</w:t>
            </w:r>
          </w:p>
        </w:tc>
        <w:tc>
          <w:tcPr>
            <w:tcW w:type="dxa" w:w="850"/>
            <w:shd w:val="clear" w:color="auto" w:fill="FFF7E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13:45</w:t>
            </w:r>
          </w:p>
        </w:tc>
        <w:tc>
          <w:tcPr>
            <w:tcW w:type="dxa" w:w="1134"/>
            <w:shd w:val="clear" w:color="auto" w:fill="FFF7E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45 min</w:t>
            </w:r>
          </w:p>
        </w:tc>
        <w:tc>
          <w:tcPr>
            <w:tcW w:type="dxa" w:w="6520"/>
            <w:shd w:val="clear" w:color="auto" w:fill="FFF7E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Lunch Break</w:t>
            </w:r>
          </w:p>
        </w:tc>
        <w:tc>
          <w:tcPr>
            <w:tcW w:type="dxa" w:w="2268"/>
            <w:shd w:val="clear" w:color="auto" w:fill="FFF7E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—</w:t>
            </w:r>
          </w:p>
        </w:tc>
        <w:tc>
          <w:tcPr>
            <w:tcW w:type="dxa" w:w="3118"/>
            <w:shd w:val="clear" w:color="auto" w:fill="FFF7E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—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13:45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15:30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1 h 45 min</w:t>
            </w:r>
          </w:p>
        </w:tc>
        <w:tc>
          <w:tcPr>
            <w:tcW w:type="dxa" w:w="6520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Digital Attendance (PM)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sz w:val="17"/>
              </w:rPr>
              <w:t>LU3: Risk Assessment Techniques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sz w:val="17"/>
              </w:rPr>
              <w:t>T3: Risk Assessment (K4, A3)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sz w:val="17"/>
              </w:rPr>
              <w:t>• Conducting risk assessment · significance evaluation methods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sz w:val="17"/>
              </w:rPr>
              <w:t>• The 5×5 matrix · multi-criteria scoring · FMEA (S × O × D)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sz w:val="17"/>
              </w:rPr>
              <w:t>• Override rules · auditing the significance method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Lecture · Worked examples · Discussion</w:t>
            </w:r>
          </w:p>
        </w:tc>
        <w:tc>
          <w:tcPr>
            <w:tcW w:type="dxa" w:w="311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PM Digital Attendance · Trainer slides Slide 79+ · Risk matrix handout</w:t>
            </w:r>
          </w:p>
        </w:tc>
      </w:tr>
      <w:tr>
        <w:tc>
          <w:tcPr>
            <w:tcW w:type="dxa" w:w="850"/>
            <w:shd w:val="clear" w:color="auto" w:fill="FFF7E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15:30</w:t>
            </w:r>
          </w:p>
        </w:tc>
        <w:tc>
          <w:tcPr>
            <w:tcW w:type="dxa" w:w="850"/>
            <w:shd w:val="clear" w:color="auto" w:fill="FFF7E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15:45</w:t>
            </w:r>
          </w:p>
        </w:tc>
        <w:tc>
          <w:tcPr>
            <w:tcW w:type="dxa" w:w="1134"/>
            <w:shd w:val="clear" w:color="auto" w:fill="FFF7E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15 min</w:t>
            </w:r>
          </w:p>
        </w:tc>
        <w:tc>
          <w:tcPr>
            <w:tcW w:type="dxa" w:w="6520"/>
            <w:shd w:val="clear" w:color="auto" w:fill="FFF7E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Tea Break</w:t>
            </w:r>
          </w:p>
        </w:tc>
        <w:tc>
          <w:tcPr>
            <w:tcW w:type="dxa" w:w="2268"/>
            <w:shd w:val="clear" w:color="auto" w:fill="FFF7E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—</w:t>
            </w:r>
          </w:p>
        </w:tc>
        <w:tc>
          <w:tcPr>
            <w:tcW w:type="dxa" w:w="3118"/>
            <w:shd w:val="clear" w:color="auto" w:fill="FFF7E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—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15:45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17:30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1 h 45 min</w:t>
            </w:r>
          </w:p>
        </w:tc>
        <w:tc>
          <w:tcPr>
            <w:tcW w:type="dxa" w:w="6520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T3 continued — Corrective Action and Reporting (K4, A3)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sz w:val="17"/>
              </w:rPr>
              <w:t>• Writing nonconformity statements: requirement + evidence + gap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sz w:val="17"/>
              </w:rPr>
              <w:t>• Grading findings · root cause analysis (5 Whys)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sz w:val="17"/>
              </w:rPr>
              <w:t>• Correction vs corrective action · writing effective CARs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sz w:val="17"/>
              </w:rPr>
              <w:t>• Preparing the audit report · the sampling statement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sz w:val="17"/>
              </w:rPr>
              <w:t>ACTIVITY 3 — EcoTech: risk assessment, CARs and the report (75 min)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Case study · Group work · Presentation</w:t>
            </w:r>
          </w:p>
        </w:tc>
        <w:tc>
          <w:tcPr>
            <w:tcW w:type="dxa" w:w="311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Activity 3 brief (activities/) · Slides 96–97 · CAR form · Flip chart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17:30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17:45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15 min</w:t>
            </w:r>
          </w:p>
        </w:tc>
        <w:tc>
          <w:tcPr>
            <w:tcW w:type="dxa" w:w="6520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Course summary · Briefing for Assessment · Assessment Digital Attendance · TRAQOM survey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Admin · Briefing</w:t>
            </w:r>
          </w:p>
        </w:tc>
        <w:tc>
          <w:tcPr>
            <w:tcW w:type="dxa" w:w="311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Assessment Digital Attendance · TRAQOM (LMS) · Slides 103–106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17:45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18:45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1 h</w:t>
            </w:r>
          </w:p>
        </w:tc>
        <w:tc>
          <w:tcPr>
            <w:tcW w:type="dxa" w:w="6520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FINAL ASSESSMENT — Written Assessment, Short Answer Questions (WA/SAQ)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sz w:val="17"/>
              </w:rPr>
              <w:t>4 questions covering K1, K2, K3 and K4 · open book · individual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Assessment</w:t>
            </w:r>
          </w:p>
        </w:tc>
        <w:tc>
          <w:tcPr>
            <w:tcW w:type="dxa" w:w="311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WA (SAQ) question paper · Assessment Plan · Assessment Summary Record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18:45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19:45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1 h</w:t>
            </w:r>
          </w:p>
        </w:tc>
        <w:tc>
          <w:tcPr>
            <w:tcW w:type="dxa" w:w="6520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FINAL ASSESSMENT — Case Study (CS)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sz w:val="17"/>
              </w:rPr>
              <w:t>3 scenario-based questions covering A1, A2 and A3 · open book · individual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Assessment</w:t>
            </w:r>
          </w:p>
        </w:tc>
        <w:tc>
          <w:tcPr>
            <w:tcW w:type="dxa" w:w="311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CS question paper · Assessment Plan · Assessment Summary Record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color w:val="111827"/>
          <w:sz w:val="22"/>
        </w:rPr>
        <w:t>Total Training Hours: 14 hours</w:t>
      </w:r>
      <w:r>
        <w:rPr>
          <w:rFonts w:ascii="Arial" w:hAnsi="Arial"/>
          <w:b w:val="0"/>
          <w:color w:val="111827"/>
          <w:sz w:val="22"/>
        </w:rPr>
        <w:t xml:space="preserve">   ·   </w:t>
      </w:r>
      <w:r>
        <w:rPr>
          <w:rFonts w:ascii="Arial" w:hAnsi="Arial"/>
          <w:b/>
          <w:color w:val="111827"/>
          <w:sz w:val="22"/>
        </w:rPr>
        <w:t>Total Assessment Hours: 2 hours</w:t>
      </w:r>
      <w:r>
        <w:rPr>
          <w:rFonts w:ascii="Arial" w:hAnsi="Arial"/>
          <w:b w:val="0"/>
          <w:color w:val="111827"/>
          <w:sz w:val="22"/>
        </w:rPr>
        <w:t xml:space="preserve">   ·   </w:t>
      </w:r>
      <w:r>
        <w:rPr>
          <w:rFonts w:ascii="Arial" w:hAnsi="Arial"/>
          <w:b/>
          <w:color w:val="111827"/>
          <w:sz w:val="22"/>
        </w:rPr>
        <w:t>Course Total: 16 hours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6. Hands-On Activities</w:t>
      </w:r>
    </w:p>
    <w:p>
      <w:pPr>
        <w:spacing w:after="120"/>
      </w:pPr>
      <w:r>
        <w:rPr>
          <w:rFonts w:ascii="Arial" w:hAnsi="Arial"/>
          <w:b w:val="0"/>
          <w:color w:val="111827"/>
          <w:sz w:val="22"/>
        </w:rPr>
        <w:t>Each activity is a scenario-based case study run in small groups and debriefed by the trainer. Full step-by-step guidance, the scenario, the questions and the model answers are in the Learner Guide and in the standalone activity briefs in the activities/ folder.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#</w:t>
            </w:r>
          </w:p>
        </w:tc>
        <w:tc>
          <w:tcPr>
            <w:tcW w:type="dxa" w:w="28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Activity</w:t>
            </w:r>
          </w:p>
        </w:tc>
        <w:tc>
          <w:tcPr>
            <w:tcW w:type="dxa" w:w="28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Topic</w:t>
            </w:r>
          </w:p>
        </w:tc>
        <w:tc>
          <w:tcPr>
            <w:tcW w:type="dxa" w:w="28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28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K/A assessed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Arial" w:hAnsi="Arial"/>
                <w:b/>
                <w:sz w:val="19"/>
              </w:rPr>
              <w:t>1</w:t>
            </w:r>
          </w:p>
        </w:tc>
        <w:tc>
          <w:tcPr>
            <w:tcW w:type="dxa" w:w="2828"/>
          </w:tcPr>
          <w:p>
            <w:r/>
            <w:r>
              <w:rPr>
                <w:rFonts w:ascii="Arial" w:hAnsi="Arial"/>
                <w:b w:val="0"/>
                <w:sz w:val="19"/>
              </w:rPr>
              <w:t>Auditing GreenPack — Framework, Context and Scope</w:t>
            </w:r>
          </w:p>
        </w:tc>
        <w:tc>
          <w:tcPr>
            <w:tcW w:type="dxa" w:w="2828"/>
          </w:tcPr>
          <w:p>
            <w:r/>
            <w:r>
              <w:rPr>
                <w:rFonts w:ascii="Arial" w:hAnsi="Arial"/>
                <w:b w:val="0"/>
                <w:sz w:val="19"/>
              </w:rPr>
              <w:t>Topic 1</w:t>
            </w:r>
          </w:p>
        </w:tc>
        <w:tc>
          <w:tcPr>
            <w:tcW w:type="dxa" w:w="2828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2828"/>
          </w:tcPr>
          <w:p>
            <w:r/>
            <w:r>
              <w:rPr>
                <w:rFonts w:ascii="Arial" w:hAnsi="Arial"/>
                <w:b w:val="0"/>
                <w:sz w:val="19"/>
              </w:rPr>
              <w:t>K1 · K2 · A1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Arial" w:hAnsi="Arial"/>
                <w:b/>
                <w:sz w:val="19"/>
              </w:rPr>
              <w:t>2</w:t>
            </w:r>
          </w:p>
        </w:tc>
        <w:tc>
          <w:tcPr>
            <w:tcW w:type="dxa" w:w="2828"/>
          </w:tcPr>
          <w:p>
            <w:r/>
            <w:r>
              <w:rPr>
                <w:rFonts w:ascii="Arial" w:hAnsi="Arial"/>
                <w:b w:val="0"/>
                <w:sz w:val="19"/>
              </w:rPr>
              <w:t>AquaPure — Planning the Engagement and the Audit Checklist</w:t>
            </w:r>
          </w:p>
        </w:tc>
        <w:tc>
          <w:tcPr>
            <w:tcW w:type="dxa" w:w="2828"/>
          </w:tcPr>
          <w:p>
            <w:r/>
            <w:r>
              <w:rPr>
                <w:rFonts w:ascii="Arial" w:hAnsi="Arial"/>
                <w:b w:val="0"/>
                <w:sz w:val="19"/>
              </w:rPr>
              <w:t>Topic 2</w:t>
            </w:r>
          </w:p>
        </w:tc>
        <w:tc>
          <w:tcPr>
            <w:tcW w:type="dxa" w:w="2828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2828"/>
          </w:tcPr>
          <w:p>
            <w:r/>
            <w:r>
              <w:rPr>
                <w:rFonts w:ascii="Arial" w:hAnsi="Arial"/>
                <w:b w:val="0"/>
                <w:sz w:val="19"/>
              </w:rPr>
              <w:t>K3 · A2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Arial" w:hAnsi="Arial"/>
                <w:b/>
                <w:sz w:val="19"/>
              </w:rPr>
              <w:t>3</w:t>
            </w:r>
          </w:p>
        </w:tc>
        <w:tc>
          <w:tcPr>
            <w:tcW w:type="dxa" w:w="2828"/>
          </w:tcPr>
          <w:p>
            <w:r/>
            <w:r>
              <w:rPr>
                <w:rFonts w:ascii="Arial" w:hAnsi="Arial"/>
                <w:b w:val="0"/>
                <w:sz w:val="19"/>
              </w:rPr>
              <w:t>EcoTech Electronics — Risk Assessment, CARs and the Audit Report</w:t>
            </w:r>
          </w:p>
        </w:tc>
        <w:tc>
          <w:tcPr>
            <w:tcW w:type="dxa" w:w="2828"/>
          </w:tcPr>
          <w:p>
            <w:r/>
            <w:r>
              <w:rPr>
                <w:rFonts w:ascii="Arial" w:hAnsi="Arial"/>
                <w:b w:val="0"/>
                <w:sz w:val="19"/>
              </w:rPr>
              <w:t>Topic 3</w:t>
            </w:r>
          </w:p>
        </w:tc>
        <w:tc>
          <w:tcPr>
            <w:tcW w:type="dxa" w:w="2828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2828"/>
          </w:tcPr>
          <w:p>
            <w:r/>
            <w:r>
              <w:rPr>
                <w:rFonts w:ascii="Arial" w:hAnsi="Arial"/>
                <w:b w:val="0"/>
                <w:sz w:val="19"/>
              </w:rPr>
              <w:t>K4 · A3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7. Assessment Plan</w:t>
      </w:r>
    </w:p>
    <w:p>
      <w:pPr>
        <w:spacing w:after="120"/>
      </w:pPr>
      <w:r>
        <w:rPr>
          <w:rFonts w:ascii="Arial" w:hAnsi="Arial"/>
          <w:b/>
          <w:color w:val="111827"/>
          <w:sz w:val="21"/>
        </w:rPr>
        <w:t>Written Assessment — Short Answer Questions (WA/SAQ)</w:t>
      </w:r>
      <w:r>
        <w:rPr>
          <w:rFonts w:ascii="Arial" w:hAnsi="Arial"/>
          <w:b w:val="0"/>
          <w:color w:val="111827"/>
          <w:sz w:val="21"/>
        </w:rPr>
        <w:t>: 4 questions, 60 minutes, open book. Covers K1, K2, K3 and K4.</w:t>
      </w:r>
    </w:p>
    <w:p>
      <w:pPr>
        <w:spacing w:after="120"/>
      </w:pPr>
      <w:r>
        <w:rPr>
          <w:rFonts w:ascii="Arial" w:hAnsi="Arial"/>
          <w:b/>
          <w:color w:val="111827"/>
          <w:sz w:val="21"/>
        </w:rPr>
        <w:t>Case Study (CS)</w:t>
      </w:r>
      <w:r>
        <w:rPr>
          <w:rFonts w:ascii="Arial" w:hAnsi="Arial"/>
          <w:b w:val="0"/>
          <w:color w:val="111827"/>
          <w:sz w:val="21"/>
        </w:rPr>
        <w:t>: 3 scenario-based questions, 60 minutes, open book. Covers A1, A2 and A3.</w:t>
      </w:r>
    </w:p>
    <w:p>
      <w:pPr>
        <w:spacing w:after="120"/>
      </w:pPr>
      <w:r>
        <w:rPr>
          <w:rFonts w:ascii="Arial" w:hAnsi="Arial"/>
          <w:b w:val="0"/>
          <w:color w:val="111827"/>
          <w:sz w:val="21"/>
        </w:rPr>
        <w:t xml:space="preserve">Both instruments are completed individually. Learners must answer all questions correctly to be assessed </w:t>
      </w:r>
      <w:r>
        <w:rPr>
          <w:rFonts w:ascii="Arial" w:hAnsi="Arial"/>
          <w:b/>
          <w:color w:val="111827"/>
          <w:sz w:val="21"/>
        </w:rPr>
        <w:t>Competent (C)</w:t>
      </w:r>
      <w:r>
        <w:rPr>
          <w:rFonts w:ascii="Arial" w:hAnsi="Arial"/>
          <w:b w:val="0"/>
          <w:color w:val="111827"/>
          <w:sz w:val="21"/>
        </w:rPr>
        <w:t xml:space="preserve">; otherwise </w:t>
      </w:r>
      <w:r>
        <w:rPr>
          <w:rFonts w:ascii="Arial" w:hAnsi="Arial"/>
          <w:b/>
          <w:color w:val="111827"/>
          <w:sz w:val="21"/>
        </w:rPr>
        <w:t>Not Yet Competent (NYC)</w:t>
      </w:r>
      <w:r>
        <w:rPr>
          <w:rFonts w:ascii="Arial" w:hAnsi="Arial"/>
          <w:b w:val="0"/>
          <w:color w:val="111827"/>
          <w:sz w:val="21"/>
        </w:rPr>
        <w:t>, with re-assessment offered in line with the Assessment Plan. An appeal process is available.</w:t>
      </w:r>
    </w:p>
    <w:p>
      <w:pPr>
        <w:pStyle w:val="Heading1"/>
      </w:pPr>
      <w:r>
        <w:rPr>
          <w:rFonts w:ascii="Arial" w:hAnsi="Arial"/>
        </w:rPr>
        <w:t>8. Resources Required</w:t>
      </w:r>
    </w:p>
    <w:p>
      <w:pPr>
        <w:pStyle w:val="ListBullet"/>
      </w:pPr>
      <w:r>
        <w:rPr>
          <w:rFonts w:ascii="Arial" w:hAnsi="Arial"/>
          <w:b w:val="0"/>
          <w:color w:val="111827"/>
          <w:sz w:val="21"/>
        </w:rPr>
        <w:t>Trainer slide deck (PPT/PDF) and Learner Guide (PDF)</w:t>
      </w:r>
    </w:p>
    <w:p>
      <w:pPr>
        <w:pStyle w:val="ListBullet"/>
      </w:pPr>
      <w:r>
        <w:rPr>
          <w:rFonts w:ascii="Arial" w:hAnsi="Arial"/>
          <w:b w:val="0"/>
          <w:color w:val="111827"/>
          <w:sz w:val="21"/>
        </w:rPr>
        <w:t>Activity briefs 1–3 (PDF) from the activities/ folder</w:t>
      </w:r>
    </w:p>
    <w:p>
      <w:pPr>
        <w:pStyle w:val="ListBullet"/>
      </w:pPr>
      <w:r>
        <w:rPr>
          <w:rFonts w:ascii="Arial" w:hAnsi="Arial"/>
          <w:b w:val="0"/>
          <w:color w:val="111827"/>
          <w:sz w:val="21"/>
        </w:rPr>
        <w:t>Projector / TV, whiteboard and markers, flip chart for group work</w:t>
      </w:r>
    </w:p>
    <w:p>
      <w:pPr>
        <w:pStyle w:val="ListBullet"/>
      </w:pPr>
      <w:r>
        <w:rPr>
          <w:rFonts w:ascii="Arial" w:hAnsi="Arial"/>
          <w:b w:val="0"/>
          <w:color w:val="111827"/>
          <w:sz w:val="21"/>
        </w:rPr>
        <w:t>Wi-Fi access to the LMS (lms-tms.tertiaryinfotech.com)</w:t>
      </w:r>
    </w:p>
    <w:p>
      <w:pPr>
        <w:pStyle w:val="ListBullet"/>
      </w:pPr>
      <w:r>
        <w:rPr>
          <w:rFonts w:ascii="Arial" w:hAnsi="Arial"/>
          <w:b w:val="0"/>
          <w:color w:val="111827"/>
          <w:sz w:val="21"/>
        </w:rPr>
        <w:t>SSG digital attendance QR code (AM, PM and Assessment)</w:t>
      </w:r>
    </w:p>
    <w:p>
      <w:pPr>
        <w:pStyle w:val="ListBullet"/>
      </w:pPr>
      <w:r>
        <w:rPr>
          <w:rFonts w:ascii="Arial" w:hAnsi="Arial"/>
          <w:b w:val="0"/>
          <w:color w:val="111827"/>
          <w:sz w:val="21"/>
        </w:rPr>
        <w:t>Assessment question papers, Assessment Plan and Assessment Summary Record</w:t>
      </w:r>
    </w:p>
    <w:p>
      <w:pPr>
        <w:pStyle w:val="ListBullet"/>
      </w:pPr>
      <w:r>
        <w:rPr>
          <w:rFonts w:ascii="Arial" w:hAnsi="Arial"/>
          <w:b w:val="0"/>
          <w:color w:val="111827"/>
          <w:sz w:val="21"/>
        </w:rPr>
        <w:t>Copy of ISO 14001:2015 for trainer reference</w:t>
      </w:r>
    </w:p>
    <w:sectPr w:rsidR="00FC693F" w:rsidRPr="0006063C" w:rsidSect="00034616">
      <w:footerReference w:type="default" r:id="rId10"/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/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rFonts w:ascii="Arial" w:hAnsi="Arial"/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