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rFonts w:ascii="Arial" w:hAnsi="Arial"/>
          <w:b/>
          <w:color w:val="111827"/>
          <w:sz w:val="40"/>
        </w:rPr>
        <w:t>ISO 14001:2015 Internal Auditor Training</w:t>
      </w:r>
    </w:p>
    <w:p>
      <w:pPr>
        <w:spacing w:before="80" w:after="280"/>
        <w:jc w:val="center"/>
      </w:pPr>
      <w:r>
        <w:rPr>
          <w:rFonts w:ascii="Arial" w:hAnsi="Arial"/>
          <w:b w:val="0"/>
          <w:color w:val="111827"/>
          <w:sz w:val="24"/>
        </w:rPr>
        <w:t>TGS Ref No: TGS-2025054479</w:t>
      </w:r>
    </w:p>
    <w:p>
      <w:pPr>
        <w:spacing w:before="0" w:after="40"/>
        <w:jc w:val="center"/>
      </w:pPr>
      <w:r>
        <w:rPr>
          <w:rFonts w:ascii="Arial" w:hAnsi="Arial"/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6.0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3535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3535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3535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1.0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19 Apr 2025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First version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2.0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8 May 2025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Second version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3.0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New format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4.0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17 Oct 2025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Update company name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5.0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17 August 2026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Full content rebuild against ISO 14001:2015 and ISO 19011:2018. Schedule corrected to 14 h facilitation + 2 h assessment with no timing gaps. Three case-study activities added (GreenPack, AquaPure, EcoTech) with slide references generated from the deck.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6.0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17 August 2026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Added the WSQ funding validity period (11 Apr 2025 to 10 Apr 2027) to the course information, the funding-criteria slide and the Learner Guide.</w:t>
            </w:r>
          </w:p>
        </w:tc>
        <w:tc>
          <w:tcPr>
            <w:tcW w:type="dxa" w:w="3535"/>
          </w:tcPr>
          <w:p>
            <w:r/>
            <w:r>
              <w:rPr>
                <w:rFonts w:ascii="Arial" w:hAnsi="Arial"/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hAnsi="Arial"/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1. 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2.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3. Knowledge and Ability Statements Assessed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4. Course Outline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1: ISO 14001:2015 Internal Auditor Framework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2: Auditing ISO 14001:2015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3: Risk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5. Daily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6. Hands-On Activities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7. Assessment Plan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8. Resources Required</w:t>
        <w:tab/>
        <w:t>10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1. 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Course Title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ISO 14001:2015 Internal Auditor Training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TGS Reference Number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TGS-2025054479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Training Provider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Tertiary Infotech Academy Pte Ltd (UEN: 201200696W)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TSC Title / Code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Internal Audit Engagement Planning · ACC-IAD-3005-1.1 · Level 1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Mode of Delivery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Classroom / Instructor-led (Physical)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Course Duration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16 hours over 2 days (14 h facilitation + 2 h assessment)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Class Timing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Day 1: 9:30 am – 5:45 pm  ·  Day 2: 9:30 am – 7:45 pm (including the 2-hour assessment)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Assessment Methods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Written Assessment – Short Answer Questions (WA/SAQ), 1 hour · Case Study (CS), 1 hour · both open book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Grading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Competent (C) / Not Yet Competent (NYC)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Funding Validity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11 Apr 2025 to 10 Apr 2027</w:t>
            </w:r>
          </w:p>
        </w:tc>
      </w:tr>
      <w:tr>
        <w:tc>
          <w:tcPr>
            <w:tcW w:type="dxa" w:w="3402"/>
            <w:shd w:val="clear" w:color="auto" w:fill="F5F8FC"/>
          </w:tcPr>
          <w:p>
            <w:r/>
            <w:r>
              <w:rPr>
                <w:rFonts w:ascii="Arial" w:hAnsi="Arial"/>
                <w:b/>
                <w:sz w:val="20"/>
              </w:rPr>
              <w:t>Max Class Size</w:t>
            </w:r>
          </w:p>
        </w:tc>
        <w:tc>
          <w:tcPr>
            <w:tcW w:type="dxa" w:w="11339"/>
          </w:tcPr>
          <w:p>
            <w:r/>
            <w:r>
              <w:rPr>
                <w:rFonts w:ascii="Arial" w:hAnsi="Arial"/>
                <w:sz w:val="20"/>
              </w:rPr>
              <w:t>20 learners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2. Learning Outcomes</w:t>
      </w:r>
    </w:p>
    <w:p>
      <w:pPr>
        <w:spacing w:after="120"/>
      </w:pPr>
      <w:r>
        <w:rPr>
          <w:rFonts w:ascii="Arial" w:hAnsi="Arial"/>
          <w:b w:val="0"/>
          <w:color w:val="111827"/>
          <w:sz w:val="22"/>
        </w:rPr>
        <w:t>On completion of this course, learners will be able to: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LO1: Identify ISO 14001:2015 standards for internal auditing based on the International Professional Practices Framework (IPPF) and organisational risks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LO2: Identify phases of engagement with stakeholders by applying ISO 14001:2015 internal audit methodologies and procedures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LO3: Support preliminary risk assessments using risk identification and assessment techniques</w:t>
      </w:r>
    </w:p>
    <w:p>
      <w:pPr>
        <w:pStyle w:val="Heading1"/>
      </w:pPr>
      <w:r>
        <w:rPr>
          <w:rFonts w:ascii="Arial" w:hAnsi="Arial"/>
        </w:rPr>
        <w:t>3. Knowledge and Ability Statements Assessed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4713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Statement</w:t>
            </w:r>
          </w:p>
        </w:tc>
        <w:tc>
          <w:tcPr>
            <w:tcW w:type="dxa" w:w="4713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Assessed by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K1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International Professional Practices Framework (IPPF) comprising definitions of Internal Auditing, Code of Ethics, core principles and International Standards for the Professional Practice of Internal Auditing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(SAQ)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K2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Organisation's significant risks, objectives, resources, operations, businesses and structure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(SAQ)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K3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Internal audit methodologies and procedures of the organisation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(SAQ)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K4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Risk identification and assessment techniques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(SAQ)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A1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Identify relevant frameworks, guidelines and standards to be applied in the engagement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(CS)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A2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Identify stages of the engagement and various stakeholders involved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(CS)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Arial" w:hAnsi="Arial"/>
                <w:b/>
                <w:sz w:val="19"/>
              </w:rPr>
              <w:t>A3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Support conduct of preliminary survey and risk assessment</w:t>
            </w:r>
          </w:p>
        </w:tc>
        <w:tc>
          <w:tcPr>
            <w:tcW w:type="dxa" w:w="4713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(CS)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4. Course Outline</w:t>
      </w:r>
    </w:p>
    <w:p>
      <w:pPr>
        <w:pStyle w:val="Heading2"/>
      </w:pPr>
      <w:r>
        <w:rPr>
          <w:rFonts w:ascii="Arial" w:hAnsi="Arial"/>
        </w:rPr>
        <w:t>Topic 1: ISO 14001:2015 Internal Auditor Framework</w:t>
      </w:r>
    </w:p>
    <w:p>
      <w:pPr>
        <w:spacing w:after="120"/>
      </w:pPr>
      <w:r>
        <w:rPr>
          <w:rFonts w:ascii="Arial" w:hAnsi="Arial"/>
          <w:b/>
          <w:color w:val="111827"/>
          <w:sz w:val="21"/>
        </w:rPr>
        <w:t>LU1: Introduction to ISO 14001:2015</w:t>
      </w:r>
      <w:r>
        <w:rPr>
          <w:rFonts w:ascii="Arial" w:hAnsi="Arial"/>
          <w:b w:val="0"/>
          <w:color w:val="111827"/>
          <w:sz w:val="21"/>
        </w:rPr>
        <w:t xml:space="preserve">  ·  Learning outcome </w:t>
      </w:r>
      <w:r>
        <w:rPr>
          <w:rFonts w:ascii="Arial" w:hAnsi="Arial"/>
          <w:b/>
          <w:color w:val="111827"/>
          <w:sz w:val="21"/>
        </w:rPr>
        <w:t>LO1</w:t>
      </w:r>
      <w:r>
        <w:rPr>
          <w:rFonts w:ascii="Arial" w:hAnsi="Arial"/>
          <w:b w:val="0"/>
          <w:color w:val="111827"/>
          <w:sz w:val="21"/>
        </w:rPr>
        <w:t xml:space="preserve">  ·  Knowledge/Ability: </w:t>
      </w:r>
      <w:r>
        <w:rPr>
          <w:rFonts w:ascii="Arial" w:hAnsi="Arial"/>
          <w:b/>
          <w:color w:val="111827"/>
          <w:sz w:val="21"/>
        </w:rPr>
        <w:t>K1 · K2 · A1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Overview of International Professional Practices Framework (IPPF)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Introduction of ISO 14001:2015 and Environmental Management System (EMS)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Apply ISO 14001:2015 to Organization – Risks, Objectives, Resources, Operations</w:t>
      </w:r>
    </w:p>
    <w:p>
      <w:pPr>
        <w:pStyle w:val="Heading2"/>
      </w:pPr>
      <w:r>
        <w:rPr>
          <w:rFonts w:ascii="Arial" w:hAnsi="Arial"/>
        </w:rPr>
        <w:t>Topic 2: Auditing ISO 14001:2015</w:t>
      </w:r>
    </w:p>
    <w:p>
      <w:pPr>
        <w:spacing w:after="120"/>
      </w:pPr>
      <w:r>
        <w:rPr>
          <w:rFonts w:ascii="Arial" w:hAnsi="Arial"/>
          <w:b/>
          <w:color w:val="111827"/>
          <w:sz w:val="21"/>
        </w:rPr>
        <w:t>LU2: Auditing Methodologies</w:t>
      </w:r>
      <w:r>
        <w:rPr>
          <w:rFonts w:ascii="Arial" w:hAnsi="Arial"/>
          <w:b w:val="0"/>
          <w:color w:val="111827"/>
          <w:sz w:val="21"/>
        </w:rPr>
        <w:t xml:space="preserve">  ·  Learning outcome </w:t>
      </w:r>
      <w:r>
        <w:rPr>
          <w:rFonts w:ascii="Arial" w:hAnsi="Arial"/>
          <w:b/>
          <w:color w:val="111827"/>
          <w:sz w:val="21"/>
        </w:rPr>
        <w:t>LO2</w:t>
      </w:r>
      <w:r>
        <w:rPr>
          <w:rFonts w:ascii="Arial" w:hAnsi="Arial"/>
          <w:b w:val="0"/>
          <w:color w:val="111827"/>
          <w:sz w:val="21"/>
        </w:rPr>
        <w:t xml:space="preserve">  ·  Knowledge/Ability: </w:t>
      </w:r>
      <w:r>
        <w:rPr>
          <w:rFonts w:ascii="Arial" w:hAnsi="Arial"/>
          <w:b/>
          <w:color w:val="111827"/>
          <w:sz w:val="21"/>
        </w:rPr>
        <w:t>K3 · A2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Internal audit methodologies and procedures for ISO 14001:2015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Phases of auditing and engagement with stakeholders</w:t>
      </w:r>
    </w:p>
    <w:p>
      <w:pPr>
        <w:pStyle w:val="Heading2"/>
      </w:pPr>
      <w:r>
        <w:rPr>
          <w:rFonts w:ascii="Arial" w:hAnsi="Arial"/>
        </w:rPr>
        <w:t>Topic 3: Risk Assessment</w:t>
      </w:r>
    </w:p>
    <w:p>
      <w:pPr>
        <w:spacing w:after="120"/>
      </w:pPr>
      <w:r>
        <w:rPr>
          <w:rFonts w:ascii="Arial" w:hAnsi="Arial"/>
          <w:b/>
          <w:color w:val="111827"/>
          <w:sz w:val="21"/>
        </w:rPr>
        <w:t>LU3: Risk Assessment Techniques</w:t>
      </w:r>
      <w:r>
        <w:rPr>
          <w:rFonts w:ascii="Arial" w:hAnsi="Arial"/>
          <w:b w:val="0"/>
          <w:color w:val="111827"/>
          <w:sz w:val="21"/>
        </w:rPr>
        <w:t xml:space="preserve">  ·  Learning outcome </w:t>
      </w:r>
      <w:r>
        <w:rPr>
          <w:rFonts w:ascii="Arial" w:hAnsi="Arial"/>
          <w:b/>
          <w:color w:val="111827"/>
          <w:sz w:val="21"/>
        </w:rPr>
        <w:t>LO3</w:t>
      </w:r>
      <w:r>
        <w:rPr>
          <w:rFonts w:ascii="Arial" w:hAnsi="Arial"/>
          <w:b w:val="0"/>
          <w:color w:val="111827"/>
          <w:sz w:val="21"/>
        </w:rPr>
        <w:t xml:space="preserve">  ·  Knowledge/Ability: </w:t>
      </w:r>
      <w:r>
        <w:rPr>
          <w:rFonts w:ascii="Arial" w:hAnsi="Arial"/>
          <w:b/>
          <w:color w:val="111827"/>
          <w:sz w:val="21"/>
        </w:rPr>
        <w:t>K4 · A3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Conducting Risk assessment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Writing effective corrective action requests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Preparing audit reports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5. Daily Schedule</w:t>
      </w:r>
    </w:p>
    <w:p>
      <w:pPr>
        <w:pStyle w:val="Heading2"/>
      </w:pPr>
      <w:r>
        <w:rPr>
          <w:rFonts w:ascii="Arial" w:hAnsi="Arial"/>
        </w:rPr>
        <w:t>Day 1</w:t>
      </w:r>
    </w:p>
    <w:p>
      <w:pPr>
        <w:spacing w:after="120"/>
      </w:pPr>
      <w:r>
        <w:rPr>
          <w:rFonts w:ascii="Arial" w:hAnsi="Arial"/>
          <w:b/>
          <w:color w:val="111827"/>
          <w:sz w:val="20"/>
        </w:rPr>
        <w:t>Total facilitation: 7 hours</w:t>
      </w:r>
      <w:r>
        <w:rPr>
          <w:rFonts w:ascii="Arial" w:hAnsi="Arial"/>
          <w:b w:val="0"/>
          <w:color w:val="111827"/>
          <w:sz w:val="20"/>
        </w:rPr>
        <w:t xml:space="preserve"> (9:30 am – 5:45 pm, excluding a 45-minute lunch break and two 15-minute tea breaks). Digital attendance is taken in the morning and the afternoon.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85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Start</w:t>
            </w:r>
          </w:p>
        </w:tc>
        <w:tc>
          <w:tcPr>
            <w:tcW w:type="dxa" w:w="85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End</w:t>
            </w:r>
          </w:p>
        </w:tc>
        <w:tc>
          <w:tcPr>
            <w:tcW w:type="dxa" w:w="113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65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Topics / Content / Activity</w:t>
            </w:r>
          </w:p>
        </w:tc>
        <w:tc>
          <w:tcPr>
            <w:tcW w:type="dxa" w:w="22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Instructional Methods</w:t>
            </w:r>
          </w:p>
        </w:tc>
        <w:tc>
          <w:tcPr>
            <w:tcW w:type="dxa" w:w="311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Digital Attendance (AM) · Welcome and course introduction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Trainer introduction · Learner introduction and ice-breaker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Overview of course structure · Ground rules · Learning outcomes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Admin · Ice-breaker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AM Digital Attendance (SSG QR) · Attendance sheet · Slides 2–17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11:15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30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LU1: Introduction to ISO 14001:2015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T1: ISO 14001:2015 Internal Auditor Framework (K1, K2, A1)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Overview of the International Professional Practices Framework (IPPF)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Definition of Internal Auditing · Code of Ethics · Core Principles · Standards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Independence and objectivity in practice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Discussion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Trainer slides Slide 18+ · Learner Guide Topic 1 · TV · Whiteboard · Wi-Fi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11:15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11:30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Tea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11:30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13:15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45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T1 continued (K1, K2)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Introduction to ISO 14001:2015 and the Environmental Management System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The three intended outcomes · PDCA and the Annex SL high level structure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Clause-by-clause walkthrough: Clauses 4, 5 and 6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Environmental aspects and impacts · compliance obligations (6.1.3)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Worked examples · Peer sharing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Trainer slides · Learner Guide Topic 1 · Clause map handout · Whiteboard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13:15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14:00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45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Lunch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14:00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15:30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30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Digital Attendance (PM)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T1 continued — Apply ISO 14001:2015 to the Organisation (K2, A1)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Risks and opportunities vs environmental aspects · objectives (6.2)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Clauses 7, 8, 9 and 10 · documented information (maintain vs retain)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ACTIVITY 1 — GreenPack: framework, context and scope (45 min)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Case study · Group discussion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PM Digital Attendance · Activity 1 brief (activities/) · Slides 52–54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15:30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15:45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Tea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17:30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45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LU2: Auditing Methodologies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T2: Auditing ISO 14001:2015 (K3, A2)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ISO 19011:2018 — guidance vs requirement · the seven audit principles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Managing the audit programme (Clause 5) vs conducting an audit (Clause 6)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Internal audit methodologies and procedures of the organisation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Discussion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Trainer slides Slide 55+ · Learner Guide Topic 2 · TV · Whiteboard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Day 1 recap · Q&amp;A · preview of Day 2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Review · Q&amp;A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Trainer slides · Learner Guide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</w:rPr>
        <w:t>Day 2</w:t>
      </w:r>
    </w:p>
    <w:p>
      <w:pPr>
        <w:spacing w:after="120"/>
      </w:pPr>
      <w:r>
        <w:rPr>
          <w:rFonts w:ascii="Arial" w:hAnsi="Arial"/>
          <w:b/>
          <w:color w:val="111827"/>
          <w:sz w:val="20"/>
        </w:rPr>
        <w:t>Total facilitation: 7 hours + 2 hours assessment</w:t>
      </w:r>
      <w:r>
        <w:rPr>
          <w:rFonts w:ascii="Arial" w:hAnsi="Arial"/>
          <w:b w:val="0"/>
          <w:color w:val="111827"/>
          <w:sz w:val="20"/>
        </w:rPr>
        <w:t xml:space="preserve"> (9:30 am – 7:45 pm, excluding a 45-minute lunch break and two 15-minute tea breaks). Assessment digital attendance is taken before the assessment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85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Start</w:t>
            </w:r>
          </w:p>
        </w:tc>
        <w:tc>
          <w:tcPr>
            <w:tcW w:type="dxa" w:w="85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End</w:t>
            </w:r>
          </w:p>
        </w:tc>
        <w:tc>
          <w:tcPr>
            <w:tcW w:type="dxa" w:w="113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65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Topics / Content / Activity</w:t>
            </w:r>
          </w:p>
        </w:tc>
        <w:tc>
          <w:tcPr>
            <w:tcW w:type="dxa" w:w="22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Instructional Methods</w:t>
            </w:r>
          </w:p>
        </w:tc>
        <w:tc>
          <w:tcPr>
            <w:tcW w:type="dxa" w:w="311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Digital Attendance (AM) · Day 1 recap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Admin · Review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AM Digital Attendance (SSG QR) · Attendance sheet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9:45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11:15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30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T2 continued — Phases of Auditing (K3, A2)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The six-stage audit lifecycle (ISO 19011 §6.2–6.7)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Initiating · preparing · document review · the audit plan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Building a risk-based audit checklist · sampling and the audit trail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Audit evidence: the four sources · sufficient and appropriate evidence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Worked examples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Trainer slides · Learner Guide Topic 2 · Checklist template · Whiteboard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11:15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11:30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Tea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11:30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13:00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30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T2 continued — Engagement with Stakeholders (A2)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Questioning technique: the funnel · 5W1H · 'show me' · PLOD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Opening and closing meeting agendas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Engaging operations staff, management, clients and regulators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ACTIVITY 2 — AquaPure: audit plan, checklist and interviews (60 min)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Case study · Role play · Group discussion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Activity 2 brief (activities/) · Slides 76–78 · Flip chart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13:00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13:45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45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Lunch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13:45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15:30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45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Digital Attendance (PM)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LU3: Risk Assessment Techniques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T3: Risk Assessment (K4, A3)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Conducting risk assessment · significance evaluation methods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The 5×5 matrix · multi-criteria scoring · FMEA (S × O × D)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Override rules · auditing the significance method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Lecture · Worked examples · Discussion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PM Digital Attendance · Trainer slides Slide 79+ · Risk matrix handout</w:t>
            </w:r>
          </w:p>
        </w:tc>
      </w:tr>
      <w:tr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15:30</w:t>
            </w:r>
          </w:p>
        </w:tc>
        <w:tc>
          <w:tcPr>
            <w:tcW w:type="dxa" w:w="85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15:45</w:t>
            </w:r>
          </w:p>
        </w:tc>
        <w:tc>
          <w:tcPr>
            <w:tcW w:type="dxa" w:w="1134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15 min</w:t>
            </w:r>
          </w:p>
        </w:tc>
        <w:tc>
          <w:tcPr>
            <w:tcW w:type="dxa" w:w="6520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Tea Break</w:t>
            </w:r>
          </w:p>
        </w:tc>
        <w:tc>
          <w:tcPr>
            <w:tcW w:type="dxa" w:w="226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7E6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17:30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 45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T3 continued — Corrective Action and Reporting (K4, A3)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Writing nonconformity statements: requirement + evidence + gap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Grading findings · root cause analysis (5 Whys)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Correction vs corrective action · writing effective CARs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• Preparing the audit report · the sampling statement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7"/>
              </w:rPr>
              <w:t>ACTIVITY 3 — EcoTech: risk assessment, CARs and the report (75 min)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Case study · Group work · Presentation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Activity 3 brief (activities/) · Slides 96–97 · CAR form · Flip chart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17:30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Course summary · Briefing for Assessment · Assessment Digital Attendance · TRAQOM survey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Admin · Briefing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Assessment Digital Attendance · TRAQOM (LMS) · Slides 103–106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17:45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18:45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FINAL ASSESSMENT — Written Assessment, Short Answer Questions (WA/SAQ)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4 questions covering K1, K2, K3 and K4 · open book · individual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Assessment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WA (SAQ) question paper · Assessment Plan · Assessment Summary Record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18:45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19:45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1 h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sz w:val="17"/>
              </w:rPr>
              <w:t>FINAL ASSESSMENT — Case Study (CS)</w:t>
            </w:r>
          </w:p>
          <w:p>
            <w:pPr>
              <w:spacing w:after="20"/>
            </w:pPr>
            <w:r>
              <w:rPr>
                <w:rFonts w:ascii="Arial" w:hAnsi="Arial"/>
                <w:b w:val="0"/>
                <w:sz w:val="17"/>
              </w:rPr>
              <w:t>3 scenario-based questions covering A1, A2 and A3 · open book · individual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Assessment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sz w:val="17"/>
              </w:rPr>
              <w:t>CS question paper · Assessment Plan · Assessment Summary Record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11827"/>
          <w:sz w:val="22"/>
        </w:rPr>
        <w:t>Total Training Hours: 14 hours</w:t>
      </w:r>
      <w:r>
        <w:rPr>
          <w:rFonts w:ascii="Arial" w:hAnsi="Arial"/>
          <w:b w:val="0"/>
          <w:color w:val="111827"/>
          <w:sz w:val="22"/>
        </w:rPr>
        <w:t xml:space="preserve">   ·   </w:t>
      </w:r>
      <w:r>
        <w:rPr>
          <w:rFonts w:ascii="Arial" w:hAnsi="Arial"/>
          <w:b/>
          <w:color w:val="111827"/>
          <w:sz w:val="22"/>
        </w:rPr>
        <w:t>Total Assessment Hours: 2 hours</w:t>
      </w:r>
      <w:r>
        <w:rPr>
          <w:rFonts w:ascii="Arial" w:hAnsi="Arial"/>
          <w:b w:val="0"/>
          <w:color w:val="111827"/>
          <w:sz w:val="22"/>
        </w:rPr>
        <w:t xml:space="preserve">   ·   </w:t>
      </w:r>
      <w:r>
        <w:rPr>
          <w:rFonts w:ascii="Arial" w:hAnsi="Arial"/>
          <w:b/>
          <w:color w:val="111827"/>
          <w:sz w:val="22"/>
        </w:rPr>
        <w:t>Course Total: 16 hours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6. Hands-On Activities</w:t>
      </w:r>
    </w:p>
    <w:p>
      <w:pPr>
        <w:spacing w:after="120"/>
      </w:pPr>
      <w:r>
        <w:rPr>
          <w:rFonts w:ascii="Arial" w:hAnsi="Arial"/>
          <w:b w:val="0"/>
          <w:color w:val="111827"/>
          <w:sz w:val="22"/>
        </w:rPr>
        <w:t>Each activity is a scenario-based case study run in small groups and debriefed by the trainer. Full step-by-step guidance, the scenario, the questions and the model answers are in the Learner Guide and in the standalone activity briefs in the activities/ folder.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28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28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</w:t>
            </w:r>
          </w:p>
        </w:tc>
        <w:tc>
          <w:tcPr>
            <w:tcW w:type="dxa" w:w="28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28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K/A assessed</w:t>
            </w:r>
          </w:p>
        </w:tc>
      </w:tr>
      <w:tr>
        <w:tc>
          <w:tcPr>
            <w:tcW w:type="dxa" w:w="2828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Auditing GreenPack — Framework, Context and Scope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Topic 1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K1 · K2 · A1</w:t>
            </w:r>
          </w:p>
        </w:tc>
      </w:tr>
      <w:tr>
        <w:tc>
          <w:tcPr>
            <w:tcW w:type="dxa" w:w="2828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AquaPure — Planning the Engagement and the Audit Checklist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Topic 2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K3 · A2</w:t>
            </w:r>
          </w:p>
        </w:tc>
      </w:tr>
      <w:tr>
        <w:tc>
          <w:tcPr>
            <w:tcW w:type="dxa" w:w="2828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EcoTech Electronics — Risk Assessment, CARs and the Audit Report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Topic 3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2828"/>
          </w:tcPr>
          <w:p>
            <w:r/>
            <w:r>
              <w:rPr>
                <w:rFonts w:ascii="Arial" w:hAnsi="Arial"/>
                <w:b w:val="0"/>
                <w:sz w:val="19"/>
              </w:rPr>
              <w:t>K4 · A3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7. Assessment Plan</w:t>
      </w:r>
    </w:p>
    <w:p>
      <w:pPr>
        <w:spacing w:after="120"/>
      </w:pPr>
      <w:r>
        <w:rPr>
          <w:rFonts w:ascii="Arial" w:hAnsi="Arial"/>
          <w:b/>
          <w:color w:val="111827"/>
          <w:sz w:val="21"/>
        </w:rPr>
        <w:t>Written Assessment — Short Answer Questions (WA/SAQ)</w:t>
      </w:r>
      <w:r>
        <w:rPr>
          <w:rFonts w:ascii="Arial" w:hAnsi="Arial"/>
          <w:b w:val="0"/>
          <w:color w:val="111827"/>
          <w:sz w:val="21"/>
        </w:rPr>
        <w:t>: 4 questions, 60 minutes, open book. Covers K1, K2, K3 and K4.</w:t>
      </w:r>
    </w:p>
    <w:p>
      <w:pPr>
        <w:spacing w:after="120"/>
      </w:pPr>
      <w:r>
        <w:rPr>
          <w:rFonts w:ascii="Arial" w:hAnsi="Arial"/>
          <w:b/>
          <w:color w:val="111827"/>
          <w:sz w:val="21"/>
        </w:rPr>
        <w:t>Case Study (CS)</w:t>
      </w:r>
      <w:r>
        <w:rPr>
          <w:rFonts w:ascii="Arial" w:hAnsi="Arial"/>
          <w:b w:val="0"/>
          <w:color w:val="111827"/>
          <w:sz w:val="21"/>
        </w:rPr>
        <w:t>: 3 scenario-based questions, 60 minutes, open book. Covers A1, A2 and A3.</w:t>
      </w:r>
    </w:p>
    <w:p>
      <w:pPr>
        <w:spacing w:after="120"/>
      </w:pPr>
      <w:r>
        <w:rPr>
          <w:rFonts w:ascii="Arial" w:hAnsi="Arial"/>
          <w:b w:val="0"/>
          <w:color w:val="111827"/>
          <w:sz w:val="21"/>
        </w:rPr>
        <w:t xml:space="preserve">Both instruments are completed individually. Learners must answer all questions correctly to be assessed </w:t>
      </w:r>
      <w:r>
        <w:rPr>
          <w:rFonts w:ascii="Arial" w:hAnsi="Arial"/>
          <w:b/>
          <w:color w:val="111827"/>
          <w:sz w:val="21"/>
        </w:rPr>
        <w:t>Competent (C)</w:t>
      </w:r>
      <w:r>
        <w:rPr>
          <w:rFonts w:ascii="Arial" w:hAnsi="Arial"/>
          <w:b w:val="0"/>
          <w:color w:val="111827"/>
          <w:sz w:val="21"/>
        </w:rPr>
        <w:t xml:space="preserve">; otherwise </w:t>
      </w:r>
      <w:r>
        <w:rPr>
          <w:rFonts w:ascii="Arial" w:hAnsi="Arial"/>
          <w:b/>
          <w:color w:val="111827"/>
          <w:sz w:val="21"/>
        </w:rPr>
        <w:t>Not Yet Competent (NYC)</w:t>
      </w:r>
      <w:r>
        <w:rPr>
          <w:rFonts w:ascii="Arial" w:hAnsi="Arial"/>
          <w:b w:val="0"/>
          <w:color w:val="111827"/>
          <w:sz w:val="21"/>
        </w:rPr>
        <w:t>, with re-assessment offered in line with the Assessment Plan. An appeal process is available.</w:t>
      </w:r>
    </w:p>
    <w:p>
      <w:pPr>
        <w:pStyle w:val="Heading1"/>
      </w:pPr>
      <w:r>
        <w:rPr>
          <w:rFonts w:ascii="Arial" w:hAnsi="Arial"/>
        </w:rPr>
        <w:t>8. Resources Required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Trainer slide deck (PPT/PDF) and Learner Guide (PDF)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Activity briefs 1–3 (PDF) from the activities/ folder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Projector / TV, whiteboard and markers, flip chart for group work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Wi-Fi access to the LMS (lms-tms.tertiaryinfotech.com)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SSG digital attendance QR code (AM, PM and Assessment)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Assessment question papers, Assessment Plan and Assessment Summary Record</w:t>
      </w:r>
    </w:p>
    <w:p>
      <w:pPr>
        <w:pStyle w:val="ListBullet"/>
      </w:pPr>
      <w:r>
        <w:rPr>
          <w:rFonts w:ascii="Arial" w:hAnsi="Arial"/>
          <w:b w:val="0"/>
          <w:color w:val="111827"/>
          <w:sz w:val="21"/>
        </w:rPr>
        <w:t>Copy of ISO 14001:2015 for trainer reference</w:t>
      </w:r>
    </w:p>
    <w:sectPr w:rsidR="00FC693F" w:rsidRPr="0006063C" w:rsidSect="00034616">
      <w:footerReference w:type="default" r:id="rId10"/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rFonts w:ascii="Arial" w:hAnsi="Arial"/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